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64" w:type="pct"/>
        <w:tblCellMar>
          <w:left w:w="0" w:type="dxa"/>
          <w:right w:w="0" w:type="dxa"/>
        </w:tblCellMar>
        <w:tblLook w:val="0420" w:firstRow="1" w:lastRow="0" w:firstColumn="0" w:lastColumn="0" w:noHBand="0" w:noVBand="1"/>
      </w:tblPr>
      <w:tblGrid>
        <w:gridCol w:w="3674"/>
        <w:gridCol w:w="1986"/>
        <w:gridCol w:w="1890"/>
        <w:gridCol w:w="1349"/>
      </w:tblGrid>
      <w:tr w:rsidR="00F2381B" w:rsidRPr="00DD3A59" w14:paraId="10B44EA8" w14:textId="77777777" w:rsidTr="00364419">
        <w:trPr>
          <w:trHeight w:val="448"/>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tcPr>
          <w:p w14:paraId="69E1A643" w14:textId="77777777" w:rsidR="00F2381B" w:rsidRPr="00DD3A59" w:rsidRDefault="00F2381B" w:rsidP="00364419">
            <w:pPr>
              <w:spacing w:after="0" w:line="240" w:lineRule="auto"/>
              <w:rPr>
                <w:rFonts w:ascii="Arial" w:eastAsia="Times New Roman" w:hAnsi="Arial" w:cs="Arial"/>
                <w:b/>
                <w:bCs/>
                <w:color w:val="000000"/>
                <w:kern w:val="24"/>
                <w:sz w:val="20"/>
                <w:szCs w:val="20"/>
              </w:rPr>
            </w:pPr>
            <w:r w:rsidRPr="00386DB3">
              <w:rPr>
                <w:rFonts w:ascii="Arial" w:hAnsi="Arial" w:cs="Arial"/>
                <w:sz w:val="24"/>
                <w:szCs w:val="24"/>
              </w:rPr>
              <w:t xml:space="preserve">Table </w:t>
            </w:r>
            <w:r>
              <w:rPr>
                <w:rFonts w:ascii="Arial" w:hAnsi="Arial" w:cs="Arial"/>
                <w:sz w:val="24"/>
                <w:szCs w:val="24"/>
              </w:rPr>
              <w:t>2</w:t>
            </w:r>
            <w:r w:rsidRPr="00386DB3">
              <w:rPr>
                <w:rFonts w:ascii="Arial" w:hAnsi="Arial" w:cs="Arial"/>
                <w:sz w:val="24"/>
                <w:szCs w:val="24"/>
              </w:rPr>
              <w:t xml:space="preserve">: </w:t>
            </w:r>
            <w:r>
              <w:rPr>
                <w:rFonts w:ascii="Arial" w:hAnsi="Arial" w:cs="Arial"/>
                <w:sz w:val="24"/>
                <w:szCs w:val="24"/>
              </w:rPr>
              <w:t xml:space="preserve">Adverse Events in Sacrocolpopexy Patients </w:t>
            </w:r>
            <w:proofErr w:type="gramStart"/>
            <w:r>
              <w:rPr>
                <w:rFonts w:ascii="Arial" w:hAnsi="Arial" w:cs="Arial"/>
                <w:sz w:val="24"/>
                <w:szCs w:val="24"/>
              </w:rPr>
              <w:t>By</w:t>
            </w:r>
            <w:proofErr w:type="gramEnd"/>
            <w:r>
              <w:rPr>
                <w:rFonts w:ascii="Arial" w:hAnsi="Arial" w:cs="Arial"/>
                <w:sz w:val="24"/>
                <w:szCs w:val="24"/>
              </w:rPr>
              <w:t xml:space="preserve"> Age</w:t>
            </w:r>
          </w:p>
        </w:tc>
      </w:tr>
      <w:tr w:rsidR="00F2381B" w:rsidRPr="00DD3A59" w14:paraId="0AAA20FD" w14:textId="77777777" w:rsidTr="00364419">
        <w:trPr>
          <w:trHeight w:val="448"/>
        </w:trPr>
        <w:tc>
          <w:tcPr>
            <w:tcW w:w="2064"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703A3D9F" w14:textId="77777777" w:rsidR="00F2381B" w:rsidRPr="00DD3A59" w:rsidRDefault="00F2381B" w:rsidP="00364419">
            <w:pPr>
              <w:spacing w:after="0" w:line="240" w:lineRule="auto"/>
              <w:rPr>
                <w:rFonts w:ascii="Times New Roman" w:eastAsia="Times New Roman" w:hAnsi="Times New Roman" w:cs="Times New Roman"/>
                <w:sz w:val="24"/>
                <w:szCs w:val="24"/>
              </w:rPr>
            </w:pPr>
          </w:p>
        </w:tc>
        <w:tc>
          <w:tcPr>
            <w:tcW w:w="1116"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055AFE9E" w14:textId="77777777" w:rsidR="00F2381B" w:rsidRDefault="00F2381B" w:rsidP="00364419">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Age 61-69</w:t>
            </w:r>
          </w:p>
          <w:p w14:paraId="0EE69EA3" w14:textId="77777777" w:rsidR="00F2381B" w:rsidRPr="00DD3A59" w:rsidRDefault="00F2381B" w:rsidP="00364419">
            <w:pPr>
              <w:spacing w:after="0" w:line="240" w:lineRule="auto"/>
              <w:jc w:val="center"/>
              <w:rPr>
                <w:rFonts w:ascii="Arial" w:eastAsia="Times New Roman" w:hAnsi="Arial" w:cs="Arial"/>
                <w:sz w:val="36"/>
                <w:szCs w:val="36"/>
              </w:rPr>
            </w:pPr>
            <w:r>
              <w:rPr>
                <w:rFonts w:ascii="Arial" w:eastAsia="Times New Roman" w:hAnsi="Arial" w:cs="Arial"/>
                <w:b/>
                <w:bCs/>
                <w:sz w:val="20"/>
                <w:szCs w:val="20"/>
              </w:rPr>
              <w:t>(n=499)</w:t>
            </w:r>
          </w:p>
        </w:tc>
        <w:tc>
          <w:tcPr>
            <w:tcW w:w="1062"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40607F46" w14:textId="77777777" w:rsidR="00F2381B" w:rsidRDefault="00F2381B" w:rsidP="00364419">
            <w:pPr>
              <w:spacing w:after="0" w:line="240" w:lineRule="auto"/>
              <w:jc w:val="center"/>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Age </w:t>
            </w:r>
            <w:r>
              <w:rPr>
                <w:rFonts w:ascii="Calibri" w:eastAsia="Times New Roman" w:hAnsi="Calibri" w:cs="Calibri"/>
                <w:b/>
                <w:bCs/>
                <w:color w:val="000000"/>
                <w:kern w:val="24"/>
                <w:sz w:val="20"/>
                <w:szCs w:val="20"/>
              </w:rPr>
              <w:t>≥</w:t>
            </w:r>
            <w:r>
              <w:rPr>
                <w:rFonts w:ascii="Arial" w:eastAsia="Times New Roman" w:hAnsi="Arial" w:cs="Arial"/>
                <w:b/>
                <w:bCs/>
                <w:color w:val="000000"/>
                <w:kern w:val="24"/>
                <w:sz w:val="20"/>
                <w:szCs w:val="20"/>
              </w:rPr>
              <w:t xml:space="preserve"> 70 </w:t>
            </w:r>
          </w:p>
          <w:p w14:paraId="50FF72C6" w14:textId="77777777" w:rsidR="00F2381B" w:rsidRPr="00DD3A59" w:rsidRDefault="00F2381B" w:rsidP="00364419">
            <w:pPr>
              <w:spacing w:after="0" w:line="240" w:lineRule="auto"/>
              <w:jc w:val="center"/>
              <w:rPr>
                <w:rFonts w:ascii="Arial" w:eastAsia="Times New Roman" w:hAnsi="Arial" w:cs="Arial"/>
                <w:sz w:val="36"/>
                <w:szCs w:val="36"/>
              </w:rPr>
            </w:pPr>
            <w:r>
              <w:rPr>
                <w:rFonts w:ascii="Arial" w:eastAsia="Times New Roman" w:hAnsi="Arial" w:cs="Arial"/>
                <w:b/>
                <w:bCs/>
                <w:color w:val="000000"/>
                <w:kern w:val="24"/>
                <w:sz w:val="20"/>
                <w:szCs w:val="20"/>
              </w:rPr>
              <w:t>(n=211)</w:t>
            </w:r>
          </w:p>
        </w:tc>
        <w:tc>
          <w:tcPr>
            <w:tcW w:w="758" w:type="pct"/>
            <w:tcBorders>
              <w:top w:val="single" w:sz="8" w:space="0" w:color="000000"/>
              <w:left w:val="single" w:sz="8" w:space="0" w:color="000000"/>
              <w:bottom w:val="single" w:sz="8" w:space="0" w:color="000000"/>
              <w:right w:val="single" w:sz="8" w:space="0" w:color="000000"/>
            </w:tcBorders>
            <w:shd w:val="clear" w:color="auto" w:fill="E7E6E6"/>
            <w:tcMar>
              <w:top w:w="72" w:type="dxa"/>
              <w:left w:w="144" w:type="dxa"/>
              <w:bottom w:w="72" w:type="dxa"/>
              <w:right w:w="144" w:type="dxa"/>
            </w:tcMar>
            <w:vAlign w:val="center"/>
            <w:hideMark/>
          </w:tcPr>
          <w:p w14:paraId="72E307AB" w14:textId="77777777" w:rsidR="00F2381B" w:rsidRPr="00DD3A59" w:rsidRDefault="00F2381B" w:rsidP="00364419">
            <w:pPr>
              <w:spacing w:after="0" w:line="240" w:lineRule="auto"/>
              <w:jc w:val="center"/>
              <w:rPr>
                <w:rFonts w:ascii="Arial" w:eastAsia="Times New Roman" w:hAnsi="Arial" w:cs="Arial"/>
                <w:sz w:val="36"/>
                <w:szCs w:val="36"/>
              </w:rPr>
            </w:pPr>
            <w:r w:rsidRPr="00DD3A59">
              <w:rPr>
                <w:rFonts w:ascii="Arial" w:eastAsia="Times New Roman" w:hAnsi="Arial" w:cs="Arial"/>
                <w:b/>
                <w:bCs/>
                <w:color w:val="000000"/>
                <w:kern w:val="24"/>
                <w:sz w:val="20"/>
                <w:szCs w:val="20"/>
              </w:rPr>
              <w:t>p value</w:t>
            </w:r>
          </w:p>
        </w:tc>
      </w:tr>
      <w:tr w:rsidR="00F2381B" w:rsidRPr="006D5C8D" w14:paraId="39A1CB20"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C032BF" w14:textId="77777777" w:rsidR="00F2381B" w:rsidRPr="00DD3A59" w:rsidRDefault="00F2381B" w:rsidP="00364419">
            <w:pPr>
              <w:spacing w:after="0" w:line="240" w:lineRule="auto"/>
              <w:contextualSpacing/>
              <w:rPr>
                <w:rFonts w:ascii="Arial" w:eastAsia="Times New Roman" w:hAnsi="Arial" w:cs="Arial"/>
                <w:sz w:val="36"/>
                <w:szCs w:val="36"/>
              </w:rPr>
            </w:pPr>
            <w:r>
              <w:rPr>
                <w:rFonts w:ascii="Arial" w:eastAsia="Times New Roman" w:hAnsi="Arial" w:cs="Arial"/>
                <w:b/>
                <w:bCs/>
                <w:color w:val="000000"/>
                <w:kern w:val="24"/>
                <w:sz w:val="20"/>
                <w:szCs w:val="20"/>
              </w:rPr>
              <w:t>Composite adverse events</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67A300"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106 (21.2)</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DE51A21"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36 (17.1)</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92849BE" w14:textId="77777777" w:rsidR="00F2381B" w:rsidRPr="00415B1C" w:rsidRDefault="00F2381B" w:rsidP="00364419">
            <w:pPr>
              <w:spacing w:after="0" w:line="240" w:lineRule="auto"/>
              <w:contextualSpacing/>
              <w:jc w:val="center"/>
              <w:rPr>
                <w:rFonts w:ascii="Arial" w:eastAsia="Times New Roman" w:hAnsi="Arial" w:cs="Arial"/>
                <w:sz w:val="20"/>
                <w:szCs w:val="20"/>
              </w:rPr>
            </w:pPr>
            <w:r w:rsidRPr="00415B1C">
              <w:rPr>
                <w:rFonts w:ascii="Arial" w:eastAsia="Times New Roman" w:hAnsi="Arial" w:cs="Arial"/>
                <w:sz w:val="20"/>
                <w:szCs w:val="20"/>
              </w:rPr>
              <w:t>0.</w:t>
            </w:r>
            <w:r>
              <w:rPr>
                <w:rFonts w:ascii="Arial" w:eastAsia="Times New Roman" w:hAnsi="Arial" w:cs="Arial"/>
                <w:sz w:val="20"/>
                <w:szCs w:val="20"/>
              </w:rPr>
              <w:t>20</w:t>
            </w:r>
          </w:p>
        </w:tc>
      </w:tr>
      <w:tr w:rsidR="00F2381B" w:rsidRPr="006D5C8D" w14:paraId="5404AA95"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FA60F2" w14:textId="77777777" w:rsidR="00F2381B"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Return to operating room </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665E0FB"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4 (0.8)</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D74D871"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A07066"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F2381B" w:rsidRPr="006D5C8D" w14:paraId="06768317"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210F271" w14:textId="77777777" w:rsidR="00F2381B"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Readmission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F31AA7F"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13 (2.6)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F66B4FC"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5 (2.4)</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3A024A" w14:textId="77777777" w:rsidR="00F2381B" w:rsidRPr="0046762D" w:rsidRDefault="00F2381B" w:rsidP="00364419">
            <w:pPr>
              <w:spacing w:after="0" w:line="240" w:lineRule="auto"/>
              <w:contextualSpacing/>
              <w:jc w:val="center"/>
              <w:rPr>
                <w:rFonts w:ascii="Arial" w:eastAsia="Times New Roman" w:hAnsi="Arial" w:cs="Arial"/>
                <w:sz w:val="20"/>
                <w:szCs w:val="20"/>
              </w:rPr>
            </w:pPr>
            <w:r w:rsidRPr="0046762D">
              <w:rPr>
                <w:rFonts w:ascii="Arial" w:eastAsia="Times New Roman" w:hAnsi="Arial" w:cs="Arial"/>
                <w:sz w:val="20"/>
                <w:szCs w:val="20"/>
              </w:rPr>
              <w:t>0.</w:t>
            </w:r>
            <w:r>
              <w:rPr>
                <w:rFonts w:ascii="Arial" w:eastAsia="Times New Roman" w:hAnsi="Arial" w:cs="Arial"/>
                <w:sz w:val="20"/>
                <w:szCs w:val="20"/>
              </w:rPr>
              <w:t>86</w:t>
            </w:r>
          </w:p>
        </w:tc>
      </w:tr>
      <w:tr w:rsidR="00F2381B" w:rsidRPr="006D5C8D" w14:paraId="0A209CFA"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B8FB14C" w14:textId="77777777" w:rsidR="00F2381B"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ED evaluation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9173F6"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27 (5.4)</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1A7A43"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6 (2.8)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FD143BE"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0.14</w:t>
            </w:r>
          </w:p>
        </w:tc>
      </w:tr>
      <w:tr w:rsidR="00F2381B" w:rsidRPr="006D5C8D" w14:paraId="26D88EB2"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032EB34" w14:textId="77777777" w:rsidR="00F2381B"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Discharge to SNF</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75EF33"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66520B"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6633A7" w14:textId="77777777" w:rsidR="00F2381B" w:rsidRDefault="00F2381B" w:rsidP="00364419">
            <w:pPr>
              <w:spacing w:after="0" w:line="240" w:lineRule="auto"/>
              <w:contextualSpacing/>
              <w:jc w:val="center"/>
              <w:rPr>
                <w:rFonts w:ascii="Arial" w:eastAsia="Times New Roman" w:hAnsi="Arial" w:cs="Arial"/>
                <w:sz w:val="20"/>
                <w:szCs w:val="20"/>
              </w:rPr>
            </w:pPr>
          </w:p>
        </w:tc>
      </w:tr>
      <w:tr w:rsidR="00F2381B" w:rsidRPr="006D5C8D" w14:paraId="123F9F2A" w14:textId="77777777" w:rsidTr="00364419">
        <w:trPr>
          <w:trHeight w:val="18"/>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E71469" w14:textId="77777777" w:rsidR="00F2381B"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Cardiac complication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806E081"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ADF7EF8"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B16BC38"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1.00</w:t>
            </w:r>
          </w:p>
        </w:tc>
      </w:tr>
      <w:tr w:rsidR="00F2381B" w:rsidRPr="002D3653" w14:paraId="76749451" w14:textId="77777777" w:rsidTr="00364419">
        <w:trPr>
          <w:trHeight w:val="133"/>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C9DA89" w14:textId="77777777" w:rsidR="00F2381B" w:rsidRPr="00F34FE4" w:rsidRDefault="00F2381B" w:rsidP="00364419">
            <w:pPr>
              <w:spacing w:after="0" w:line="240" w:lineRule="auto"/>
              <w:contextualSpacing/>
              <w:rPr>
                <w:rFonts w:ascii="Arial" w:eastAsia="Times New Roman" w:hAnsi="Arial" w:cs="Arial"/>
                <w:b/>
                <w:bCs/>
                <w:sz w:val="20"/>
                <w:szCs w:val="20"/>
              </w:rPr>
            </w:pPr>
            <w:r w:rsidRPr="00F34FE4">
              <w:rPr>
                <w:rFonts w:ascii="Arial" w:eastAsia="Times New Roman" w:hAnsi="Arial" w:cs="Arial"/>
                <w:b/>
                <w:bCs/>
                <w:sz w:val="20"/>
                <w:szCs w:val="20"/>
              </w:rPr>
              <w:t>Venous thromboembolism</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3D1902A"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(0.2)</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9945F4C"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C189764" w14:textId="77777777" w:rsidR="00F2381B" w:rsidRPr="00F34FE4"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0.51</w:t>
            </w:r>
          </w:p>
        </w:tc>
      </w:tr>
      <w:tr w:rsidR="00F2381B" w:rsidRPr="002D3653" w14:paraId="1F81A8EE" w14:textId="77777777" w:rsidTr="00364419">
        <w:trPr>
          <w:trHeight w:val="133"/>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6AE215" w14:textId="77777777" w:rsidR="00F2381B" w:rsidRPr="00F34FE4" w:rsidRDefault="00F2381B" w:rsidP="00364419">
            <w:pPr>
              <w:spacing w:after="0" w:line="240" w:lineRule="auto"/>
              <w:contextualSpacing/>
              <w:rPr>
                <w:rFonts w:ascii="Arial" w:eastAsia="Times New Roman" w:hAnsi="Arial" w:cs="Arial"/>
                <w:b/>
                <w:bCs/>
                <w:sz w:val="20"/>
                <w:szCs w:val="20"/>
              </w:rPr>
            </w:pPr>
            <w:r>
              <w:rPr>
                <w:rFonts w:ascii="Arial" w:eastAsia="Times New Roman" w:hAnsi="Arial" w:cs="Arial"/>
                <w:b/>
                <w:bCs/>
                <w:color w:val="000000"/>
                <w:kern w:val="24"/>
                <w:sz w:val="20"/>
                <w:szCs w:val="20"/>
              </w:rPr>
              <w:t>Transfusion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7026CF"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58D8B52"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26A481" w14:textId="77777777" w:rsidR="00F2381B"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0.30</w:t>
            </w:r>
          </w:p>
        </w:tc>
      </w:tr>
      <w:tr w:rsidR="00F2381B" w:rsidRPr="002D3653" w14:paraId="08EE8BF4"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C3A718D" w14:textId="77777777" w:rsidR="00F2381B" w:rsidRPr="00F34FE4" w:rsidRDefault="00F2381B" w:rsidP="00364419">
            <w:pPr>
              <w:spacing w:after="0" w:line="240" w:lineRule="auto"/>
              <w:contextualSpacing/>
              <w:rPr>
                <w:rFonts w:ascii="Arial" w:eastAsia="Times New Roman" w:hAnsi="Arial" w:cs="Arial"/>
                <w:b/>
                <w:bCs/>
                <w:sz w:val="20"/>
                <w:szCs w:val="20"/>
              </w:rPr>
            </w:pPr>
            <w:r>
              <w:rPr>
                <w:rFonts w:ascii="Arial" w:eastAsia="Times New Roman" w:hAnsi="Arial" w:cs="Arial"/>
                <w:b/>
                <w:bCs/>
                <w:sz w:val="20"/>
                <w:szCs w:val="20"/>
              </w:rPr>
              <w:t>Hematoma</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9231CD0"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3 (0.6)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3155BA9" w14:textId="77777777" w:rsidR="00F2381B" w:rsidRPr="006D5C8D"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6A4539" w14:textId="77777777" w:rsidR="00F2381B" w:rsidRPr="00971DE5" w:rsidRDefault="00F2381B" w:rsidP="00364419">
            <w:pPr>
              <w:spacing w:after="0" w:line="240" w:lineRule="auto"/>
              <w:contextualSpacing/>
              <w:jc w:val="center"/>
              <w:rPr>
                <w:rFonts w:ascii="Arial" w:eastAsia="Times New Roman" w:hAnsi="Arial" w:cs="Arial"/>
                <w:sz w:val="20"/>
                <w:szCs w:val="20"/>
              </w:rPr>
            </w:pPr>
            <w:r>
              <w:rPr>
                <w:rFonts w:ascii="Arial" w:eastAsia="Times New Roman" w:hAnsi="Arial" w:cs="Arial"/>
                <w:sz w:val="20"/>
                <w:szCs w:val="20"/>
              </w:rPr>
              <w:t>0.56</w:t>
            </w:r>
          </w:p>
        </w:tc>
      </w:tr>
      <w:tr w:rsidR="00F2381B" w14:paraId="4E4B6B61"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27BC703" w14:textId="77777777" w:rsidR="00F2381B" w:rsidRPr="00612C8F" w:rsidRDefault="00F2381B" w:rsidP="00364419">
            <w:pPr>
              <w:spacing w:after="0" w:line="240" w:lineRule="auto"/>
              <w:contextualSpacing/>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Wound dehiscence</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8EA0D9" w14:textId="77777777" w:rsidR="00F2381B" w:rsidRDefault="00F2381B"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3 (0.6)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7BD67BD" w14:textId="77777777" w:rsidR="00F2381B" w:rsidRDefault="00F2381B"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41C5BB" w14:textId="77777777" w:rsidR="00F2381B" w:rsidRDefault="00F2381B" w:rsidP="00364419">
            <w:pPr>
              <w:spacing w:after="0" w:line="240" w:lineRule="auto"/>
              <w:contextualSpacing/>
              <w:jc w:val="center"/>
              <w:rPr>
                <w:rFonts w:ascii="Arial" w:eastAsia="Times New Roman" w:hAnsi="Arial" w:cs="Arial"/>
                <w:color w:val="000000"/>
                <w:kern w:val="24"/>
                <w:sz w:val="20"/>
                <w:szCs w:val="20"/>
              </w:rPr>
            </w:pPr>
            <w:r>
              <w:rPr>
                <w:rFonts w:ascii="Arial" w:eastAsia="Times New Roman" w:hAnsi="Arial" w:cs="Arial"/>
                <w:color w:val="000000"/>
                <w:kern w:val="24"/>
                <w:sz w:val="20"/>
                <w:szCs w:val="20"/>
              </w:rPr>
              <w:t>1.00</w:t>
            </w:r>
          </w:p>
        </w:tc>
      </w:tr>
      <w:tr w:rsidR="00F2381B" w:rsidRPr="002D5E58" w14:paraId="4FD5F30C"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E6336EA" w14:textId="77777777" w:rsidR="00F2381B" w:rsidRPr="002D5E58" w:rsidRDefault="00F2381B" w:rsidP="00364419">
            <w:pPr>
              <w:spacing w:after="0" w:line="240" w:lineRule="auto"/>
              <w:contextualSpacing/>
              <w:rPr>
                <w:rFonts w:ascii="Arial" w:eastAsia="Times New Roman" w:hAnsi="Arial" w:cs="Arial"/>
                <w:b/>
                <w:bCs/>
                <w:color w:val="000000"/>
                <w:kern w:val="24"/>
                <w:sz w:val="20"/>
                <w:szCs w:val="20"/>
              </w:rPr>
            </w:pPr>
            <w:r w:rsidRPr="002D5E58">
              <w:rPr>
                <w:rFonts w:ascii="Arial" w:eastAsia="Times New Roman" w:hAnsi="Arial" w:cs="Arial"/>
                <w:b/>
                <w:bCs/>
                <w:color w:val="000000"/>
                <w:kern w:val="24"/>
                <w:sz w:val="20"/>
                <w:szCs w:val="20"/>
              </w:rPr>
              <w:t>Ileus/small bowel obstruction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3E7E34"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4 (0.8)</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7C90DF"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4 (1.9)</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4CE77C8"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0.25</w:t>
            </w:r>
          </w:p>
        </w:tc>
      </w:tr>
      <w:tr w:rsidR="00F2381B" w:rsidRPr="002D5E58" w14:paraId="0EBF759C"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DD9E076" w14:textId="77777777" w:rsidR="00F2381B" w:rsidRPr="002D5E58" w:rsidRDefault="00F2381B" w:rsidP="00364419">
            <w:pPr>
              <w:spacing w:after="0" w:line="240" w:lineRule="auto"/>
              <w:contextualSpacing/>
              <w:rPr>
                <w:rFonts w:ascii="Arial" w:eastAsia="Times New Roman" w:hAnsi="Arial" w:cs="Arial"/>
                <w:b/>
                <w:bCs/>
                <w:color w:val="000000"/>
                <w:kern w:val="24"/>
                <w:sz w:val="20"/>
                <w:szCs w:val="20"/>
              </w:rPr>
            </w:pPr>
            <w:r w:rsidRPr="002D5E58">
              <w:rPr>
                <w:rFonts w:ascii="Arial" w:eastAsia="Times New Roman" w:hAnsi="Arial" w:cs="Arial"/>
                <w:b/>
                <w:bCs/>
                <w:color w:val="000000"/>
                <w:kern w:val="24"/>
                <w:sz w:val="20"/>
                <w:szCs w:val="20"/>
              </w:rPr>
              <w:t>Postoperative UTI</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84E530"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27 (5.4)</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7591F82"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13 (6.2)</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11A7321"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0.69</w:t>
            </w:r>
          </w:p>
        </w:tc>
      </w:tr>
      <w:tr w:rsidR="00F2381B" w:rsidRPr="002D5E58" w14:paraId="08D8A5C3"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20F931F" w14:textId="77777777" w:rsidR="00F2381B" w:rsidRPr="002D5E58" w:rsidRDefault="00F2381B" w:rsidP="00364419">
            <w:pPr>
              <w:spacing w:after="0" w:line="240" w:lineRule="auto"/>
              <w:contextualSpacing/>
              <w:rPr>
                <w:rFonts w:ascii="Arial" w:eastAsia="Times New Roman" w:hAnsi="Arial" w:cs="Arial"/>
                <w:b/>
                <w:bCs/>
                <w:color w:val="000000"/>
                <w:kern w:val="24"/>
                <w:sz w:val="20"/>
                <w:szCs w:val="20"/>
              </w:rPr>
            </w:pPr>
            <w:r w:rsidRPr="002D5E58">
              <w:rPr>
                <w:rFonts w:ascii="Arial" w:eastAsia="Times New Roman" w:hAnsi="Arial" w:cs="Arial"/>
                <w:b/>
                <w:bCs/>
                <w:color w:val="000000"/>
                <w:kern w:val="24"/>
                <w:sz w:val="20"/>
                <w:szCs w:val="20"/>
              </w:rPr>
              <w:t>Death</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8C07F9"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hAnsi="Arial" w:cs="Arial"/>
                <w:sz w:val="20"/>
                <w:szCs w:val="20"/>
              </w:rPr>
              <w:t>0 (0)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91A8AAA"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hAnsi="Arial" w:cs="Arial"/>
                <w:sz w:val="20"/>
                <w:szCs w:val="20"/>
              </w:rPr>
              <w:t>1 (0.5)</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A465FDE"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hAnsi="Arial" w:cs="Arial"/>
                <w:sz w:val="20"/>
                <w:szCs w:val="20"/>
              </w:rPr>
              <w:t>0.30</w:t>
            </w:r>
          </w:p>
        </w:tc>
      </w:tr>
      <w:tr w:rsidR="00F2381B" w:rsidRPr="002D5E58" w14:paraId="1FC8FB54" w14:textId="77777777" w:rsidTr="00364419">
        <w:trPr>
          <w:trHeight w:val="12"/>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A5BE2B5" w14:textId="77777777" w:rsidR="00F2381B" w:rsidRPr="002D5E58" w:rsidRDefault="00F2381B" w:rsidP="00364419">
            <w:pPr>
              <w:spacing w:after="0" w:line="240" w:lineRule="auto"/>
              <w:contextualSpacing/>
              <w:rPr>
                <w:rFonts w:ascii="Arial" w:eastAsia="Times New Roman" w:hAnsi="Arial" w:cs="Arial"/>
                <w:b/>
                <w:bCs/>
                <w:color w:val="000000"/>
                <w:kern w:val="24"/>
                <w:sz w:val="20"/>
                <w:szCs w:val="20"/>
              </w:rPr>
            </w:pPr>
            <w:r w:rsidRPr="002D5E58">
              <w:rPr>
                <w:rFonts w:ascii="Arial" w:eastAsia="Times New Roman" w:hAnsi="Arial" w:cs="Arial"/>
                <w:b/>
                <w:bCs/>
                <w:color w:val="000000"/>
                <w:kern w:val="24"/>
                <w:sz w:val="20"/>
                <w:szCs w:val="20"/>
              </w:rPr>
              <w:t>Other complications*</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21534CA"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32 (6.6)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296E6BF"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10 (4.8)</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21F2486" w14:textId="77777777" w:rsidR="00F2381B" w:rsidRPr="002D5E58" w:rsidRDefault="00F2381B" w:rsidP="00364419">
            <w:pPr>
              <w:spacing w:after="0" w:line="240" w:lineRule="auto"/>
              <w:contextualSpacing/>
              <w:jc w:val="center"/>
              <w:rPr>
                <w:rFonts w:ascii="Arial" w:eastAsia="Times New Roman" w:hAnsi="Arial" w:cs="Arial"/>
                <w:color w:val="000000"/>
                <w:kern w:val="24"/>
                <w:sz w:val="20"/>
                <w:szCs w:val="20"/>
              </w:rPr>
            </w:pPr>
            <w:r w:rsidRPr="002D5E58">
              <w:rPr>
                <w:rFonts w:ascii="Arial" w:eastAsia="Times New Roman" w:hAnsi="Arial" w:cs="Arial"/>
                <w:color w:val="000000"/>
                <w:kern w:val="24"/>
                <w:sz w:val="20"/>
                <w:szCs w:val="20"/>
              </w:rPr>
              <w:t>0.40</w:t>
            </w:r>
          </w:p>
        </w:tc>
      </w:tr>
      <w:tr w:rsidR="00F2381B" w:rsidRPr="002D5E58" w14:paraId="515702CC" w14:textId="77777777" w:rsidTr="00364419">
        <w:trPr>
          <w:trHeight w:val="12"/>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7C5E8666" w14:textId="77777777" w:rsidR="00F2381B" w:rsidRPr="002D5E58" w:rsidRDefault="00F2381B" w:rsidP="00364419">
            <w:pPr>
              <w:spacing w:after="0" w:line="240" w:lineRule="auto"/>
              <w:contextualSpacing/>
              <w:rPr>
                <w:rFonts w:ascii="Arial" w:eastAsia="Times New Roman" w:hAnsi="Arial" w:cs="Arial"/>
                <w:color w:val="000000"/>
                <w:kern w:val="24"/>
                <w:sz w:val="20"/>
                <w:szCs w:val="20"/>
              </w:rPr>
            </w:pPr>
            <w:r w:rsidRPr="002D5E58">
              <w:rPr>
                <w:rFonts w:ascii="Arial" w:eastAsia="Times New Roman" w:hAnsi="Arial" w:cs="Arial"/>
                <w:b/>
                <w:bCs/>
                <w:color w:val="000000"/>
                <w:kern w:val="24"/>
                <w:sz w:val="20"/>
                <w:szCs w:val="20"/>
              </w:rPr>
              <w:t xml:space="preserve">Intraoperative complication </w:t>
            </w:r>
          </w:p>
        </w:tc>
      </w:tr>
      <w:tr w:rsidR="00F2381B" w:rsidRPr="006D5C8D" w14:paraId="6D748311"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131CCF" w14:textId="77777777" w:rsidR="00F2381B" w:rsidRDefault="00F2381B" w:rsidP="00364419">
            <w:pPr>
              <w:spacing w:after="0" w:line="240" w:lineRule="auto"/>
              <w:ind w:left="432"/>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Conversion to laparoscopy or laparotomy</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244FCBB"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A04902"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F1D989D" w14:textId="77777777" w:rsidR="00F2381B" w:rsidRPr="006D5C8D" w:rsidRDefault="00F2381B" w:rsidP="00364419">
            <w:pPr>
              <w:spacing w:after="0" w:line="240" w:lineRule="auto"/>
              <w:jc w:val="center"/>
              <w:rPr>
                <w:rFonts w:ascii="Arial" w:eastAsia="Times New Roman" w:hAnsi="Arial" w:cs="Arial"/>
                <w:sz w:val="20"/>
                <w:szCs w:val="20"/>
              </w:rPr>
            </w:pPr>
          </w:p>
        </w:tc>
      </w:tr>
      <w:tr w:rsidR="00F2381B" w:rsidRPr="006D5C8D" w14:paraId="51E5FE8C"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D520AF" w14:textId="77777777" w:rsidR="00F2381B" w:rsidRPr="00DD3A59" w:rsidRDefault="00F2381B" w:rsidP="00364419">
            <w:pPr>
              <w:spacing w:after="0" w:line="240" w:lineRule="auto"/>
              <w:ind w:left="432"/>
              <w:rPr>
                <w:rFonts w:ascii="Arial" w:eastAsia="Times New Roman" w:hAnsi="Arial" w:cs="Arial"/>
                <w:sz w:val="36"/>
                <w:szCs w:val="36"/>
              </w:rPr>
            </w:pPr>
            <w:r>
              <w:rPr>
                <w:rFonts w:ascii="Arial" w:eastAsia="Times New Roman" w:hAnsi="Arial" w:cs="Arial"/>
                <w:b/>
                <w:bCs/>
                <w:color w:val="000000"/>
                <w:kern w:val="24"/>
                <w:sz w:val="20"/>
                <w:szCs w:val="20"/>
              </w:rPr>
              <w:t>Bladder injury</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05396A3"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5 (1.0)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1C6ECD7"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4 (1.9)</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778D73C"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0.46</w:t>
            </w:r>
          </w:p>
        </w:tc>
      </w:tr>
      <w:tr w:rsidR="00F2381B" w:rsidRPr="006D5C8D" w14:paraId="52BAD808" w14:textId="77777777" w:rsidTr="00364419">
        <w:trPr>
          <w:trHeight w:val="237"/>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F633452" w14:textId="77777777" w:rsidR="00F2381B" w:rsidRPr="00A907C7" w:rsidRDefault="00F2381B" w:rsidP="00364419">
            <w:pPr>
              <w:spacing w:after="0" w:line="240" w:lineRule="auto"/>
              <w:ind w:left="432"/>
              <w:rPr>
                <w:rFonts w:ascii="Arial" w:eastAsia="Times New Roman" w:hAnsi="Arial" w:cs="Arial"/>
                <w:b/>
                <w:bCs/>
                <w:sz w:val="20"/>
                <w:szCs w:val="20"/>
              </w:rPr>
            </w:pPr>
            <w:r w:rsidRPr="00A907C7">
              <w:rPr>
                <w:rFonts w:ascii="Arial" w:eastAsia="Times New Roman" w:hAnsi="Arial" w:cs="Arial"/>
                <w:b/>
                <w:bCs/>
                <w:sz w:val="20"/>
                <w:szCs w:val="20"/>
              </w:rPr>
              <w:t>Ureteral injury</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BDB2A79"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 (0.4)</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F92106"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D74BE72"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r>
      <w:tr w:rsidR="00F2381B" w:rsidRPr="006D5C8D" w14:paraId="27F0D0AC" w14:textId="77777777" w:rsidTr="00364419">
        <w:trPr>
          <w:trHeight w:val="237"/>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FE82B8" w14:textId="77777777" w:rsidR="00F2381B" w:rsidRPr="00DD3A59" w:rsidRDefault="00F2381B" w:rsidP="00364419">
            <w:pPr>
              <w:spacing w:after="0" w:line="240" w:lineRule="auto"/>
              <w:ind w:left="432"/>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Bowel injury</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2E9C88E"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3 (0.6)</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DBF9ECB"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3B95DC"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0.56</w:t>
            </w:r>
          </w:p>
        </w:tc>
      </w:tr>
      <w:tr w:rsidR="00F2381B" w:rsidRPr="006D5C8D" w14:paraId="1F7CFD1B" w14:textId="77777777" w:rsidTr="00364419">
        <w:trPr>
          <w:trHeight w:val="237"/>
        </w:trPr>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5C820F5B" w14:textId="77777777" w:rsidR="00F2381B" w:rsidRDefault="00F2381B" w:rsidP="00364419">
            <w:pPr>
              <w:spacing w:after="0" w:line="240" w:lineRule="auto"/>
              <w:ind w:left="432"/>
              <w:rPr>
                <w:rFonts w:ascii="Arial" w:eastAsia="Times New Roman" w:hAnsi="Arial" w:cs="Arial"/>
                <w:b/>
                <w:bCs/>
                <w:color w:val="000000"/>
                <w:kern w:val="24"/>
                <w:sz w:val="20"/>
                <w:szCs w:val="20"/>
              </w:rPr>
            </w:pPr>
            <w:r>
              <w:rPr>
                <w:rFonts w:ascii="Arial" w:eastAsia="Times New Roman" w:hAnsi="Arial" w:cs="Arial"/>
                <w:b/>
                <w:bCs/>
                <w:color w:val="000000"/>
                <w:kern w:val="24"/>
                <w:sz w:val="20"/>
                <w:szCs w:val="20"/>
              </w:rPr>
              <w:t xml:space="preserve">EBL </w:t>
            </w:r>
            <w:r>
              <w:rPr>
                <w:rFonts w:ascii="Calibri" w:eastAsia="Times New Roman" w:hAnsi="Calibri" w:cs="Calibri"/>
                <w:b/>
                <w:bCs/>
                <w:color w:val="000000"/>
                <w:kern w:val="24"/>
                <w:sz w:val="20"/>
                <w:szCs w:val="20"/>
              </w:rPr>
              <w:t>≥</w:t>
            </w:r>
            <w:r>
              <w:rPr>
                <w:rFonts w:ascii="Arial" w:eastAsia="Times New Roman" w:hAnsi="Arial" w:cs="Arial"/>
                <w:b/>
                <w:bCs/>
                <w:color w:val="000000"/>
                <w:kern w:val="24"/>
                <w:sz w:val="20"/>
                <w:szCs w:val="20"/>
              </w:rPr>
              <w:t xml:space="preserve"> 500</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493EABB"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 (0.5)</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9A0C527"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B82C00" w14:textId="77777777" w:rsidR="00F2381B" w:rsidRPr="006D5C8D"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r>
      <w:tr w:rsidR="00F2381B" w:rsidRPr="006D5C8D" w14:paraId="516AC406"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1906A703" w14:textId="77777777" w:rsidR="00F2381B" w:rsidRPr="00F34FE4" w:rsidRDefault="00F2381B" w:rsidP="00364419">
            <w:pPr>
              <w:spacing w:after="0" w:line="240" w:lineRule="auto"/>
              <w:rPr>
                <w:rFonts w:ascii="Arial" w:eastAsia="Times New Roman" w:hAnsi="Arial" w:cs="Arial"/>
                <w:b/>
                <w:bCs/>
                <w:sz w:val="20"/>
                <w:szCs w:val="20"/>
              </w:rPr>
            </w:pPr>
            <w:r w:rsidRPr="00F34FE4">
              <w:rPr>
                <w:rFonts w:ascii="Arial" w:eastAsia="Times New Roman" w:hAnsi="Arial" w:cs="Arial"/>
                <w:b/>
                <w:bCs/>
                <w:sz w:val="20"/>
                <w:szCs w:val="20"/>
              </w:rPr>
              <w:t>Surgical site infection</w:t>
            </w:r>
          </w:p>
        </w:tc>
        <w:tc>
          <w:tcPr>
            <w:tcW w:w="1116"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2F41EC64"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22 (4.4)</w:t>
            </w:r>
          </w:p>
        </w:tc>
        <w:tc>
          <w:tcPr>
            <w:tcW w:w="1062"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0F168B0D"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4 (1.9)</w:t>
            </w:r>
          </w:p>
        </w:tc>
        <w:tc>
          <w:tcPr>
            <w:tcW w:w="758" w:type="pct"/>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6EE13994" w14:textId="77777777" w:rsidR="00F2381B" w:rsidRPr="00F34FE4"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0.10</w:t>
            </w:r>
          </w:p>
        </w:tc>
      </w:tr>
      <w:tr w:rsidR="00F2381B" w:rsidRPr="006D5C8D" w14:paraId="38D8D2D9"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EEEB55" w14:textId="77777777" w:rsidR="00F2381B" w:rsidRPr="00F34FE4" w:rsidRDefault="00F2381B" w:rsidP="00364419">
            <w:pPr>
              <w:spacing w:after="0" w:line="240" w:lineRule="auto"/>
              <w:ind w:left="432"/>
              <w:rPr>
                <w:rFonts w:ascii="Arial" w:eastAsia="Times New Roman" w:hAnsi="Arial" w:cs="Arial"/>
                <w:b/>
                <w:bCs/>
                <w:sz w:val="20"/>
                <w:szCs w:val="20"/>
              </w:rPr>
            </w:pPr>
            <w:r w:rsidRPr="00F34FE4">
              <w:rPr>
                <w:rFonts w:ascii="Arial" w:eastAsia="Times New Roman" w:hAnsi="Arial" w:cs="Arial"/>
                <w:b/>
                <w:bCs/>
                <w:sz w:val="20"/>
                <w:szCs w:val="20"/>
              </w:rPr>
              <w:t>Superficial SSI</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C6C47D"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20 (4.0)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B6CDA7C"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4 (1.9)</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A069041" w14:textId="77777777" w:rsidR="00F2381B" w:rsidRPr="00497A10"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0.16</w:t>
            </w:r>
          </w:p>
        </w:tc>
      </w:tr>
      <w:tr w:rsidR="00F2381B" w:rsidRPr="006D5C8D" w14:paraId="23AE5FE8"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11DA260" w14:textId="77777777" w:rsidR="00F2381B" w:rsidRPr="00F34FE4" w:rsidRDefault="00F2381B" w:rsidP="00364419">
            <w:pPr>
              <w:spacing w:after="0" w:line="240" w:lineRule="auto"/>
              <w:ind w:left="432"/>
              <w:rPr>
                <w:rFonts w:ascii="Arial" w:eastAsia="Times New Roman" w:hAnsi="Arial" w:cs="Arial"/>
                <w:b/>
                <w:bCs/>
                <w:sz w:val="20"/>
                <w:szCs w:val="20"/>
              </w:rPr>
            </w:pPr>
            <w:r w:rsidRPr="00F34FE4">
              <w:rPr>
                <w:rFonts w:ascii="Arial" w:eastAsia="Times New Roman" w:hAnsi="Arial" w:cs="Arial"/>
                <w:b/>
                <w:bCs/>
                <w:sz w:val="20"/>
                <w:szCs w:val="20"/>
              </w:rPr>
              <w:t>Deep SSI</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EB2B06"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0DE3942"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84755AB" w14:textId="77777777" w:rsidR="00F2381B" w:rsidRPr="00612C8F" w:rsidRDefault="00F2381B" w:rsidP="00364419">
            <w:pPr>
              <w:spacing w:after="0" w:line="240" w:lineRule="auto"/>
              <w:jc w:val="center"/>
              <w:rPr>
                <w:rFonts w:ascii="Arial" w:eastAsia="Times New Roman" w:hAnsi="Arial" w:cs="Arial"/>
                <w:sz w:val="20"/>
                <w:szCs w:val="20"/>
              </w:rPr>
            </w:pPr>
          </w:p>
        </w:tc>
      </w:tr>
      <w:tr w:rsidR="00F2381B" w:rsidRPr="006D5C8D" w14:paraId="526A7C76"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3A21880" w14:textId="77777777" w:rsidR="00F2381B" w:rsidRPr="00F34FE4" w:rsidRDefault="00F2381B" w:rsidP="00364419">
            <w:pPr>
              <w:spacing w:after="0" w:line="240" w:lineRule="auto"/>
              <w:ind w:left="432"/>
              <w:rPr>
                <w:rFonts w:ascii="Arial" w:eastAsia="Times New Roman" w:hAnsi="Arial" w:cs="Arial"/>
                <w:b/>
                <w:bCs/>
                <w:sz w:val="20"/>
                <w:szCs w:val="20"/>
              </w:rPr>
            </w:pPr>
            <w:r w:rsidRPr="00F34FE4">
              <w:rPr>
                <w:rFonts w:ascii="Arial" w:eastAsia="Times New Roman" w:hAnsi="Arial" w:cs="Arial"/>
                <w:b/>
                <w:bCs/>
                <w:sz w:val="20"/>
                <w:szCs w:val="20"/>
              </w:rPr>
              <w:t>Organ-space SSI</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2C92E2CF"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 (0.4)</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A13DFDD"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 (0)</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77FF1C3" w14:textId="77777777" w:rsidR="00F2381B" w:rsidRPr="00612C8F"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1.00</w:t>
            </w:r>
          </w:p>
        </w:tc>
      </w:tr>
      <w:tr w:rsidR="00F2381B" w:rsidRPr="006D5C8D" w14:paraId="56FAF9E1" w14:textId="77777777" w:rsidTr="00364419">
        <w:tc>
          <w:tcPr>
            <w:tcW w:w="5000" w:type="pct"/>
            <w:gridSpan w:val="4"/>
            <w:tcBorders>
              <w:top w:val="single" w:sz="8" w:space="0" w:color="000000"/>
              <w:left w:val="single" w:sz="8" w:space="0" w:color="000000"/>
              <w:bottom w:val="single" w:sz="8" w:space="0" w:color="000000"/>
              <w:right w:val="single" w:sz="8" w:space="0" w:color="000000"/>
            </w:tcBorders>
            <w:shd w:val="clear" w:color="auto" w:fill="E8E8E8" w:themeFill="background2"/>
            <w:tcMar>
              <w:top w:w="72" w:type="dxa"/>
              <w:left w:w="144" w:type="dxa"/>
              <w:bottom w:w="72" w:type="dxa"/>
              <w:right w:w="144" w:type="dxa"/>
            </w:tcMar>
            <w:vAlign w:val="center"/>
          </w:tcPr>
          <w:p w14:paraId="5A35A4AA" w14:textId="77777777" w:rsidR="00F2381B" w:rsidRPr="00935FD8" w:rsidRDefault="00F2381B" w:rsidP="00364419">
            <w:pPr>
              <w:spacing w:after="0" w:line="240" w:lineRule="auto"/>
              <w:rPr>
                <w:rFonts w:ascii="Arial" w:eastAsia="Times New Roman" w:hAnsi="Arial" w:cs="Arial"/>
                <w:b/>
                <w:bCs/>
                <w:sz w:val="20"/>
                <w:szCs w:val="20"/>
              </w:rPr>
            </w:pPr>
            <w:r w:rsidRPr="00935FD8">
              <w:rPr>
                <w:rFonts w:ascii="Arial" w:eastAsia="Times New Roman" w:hAnsi="Arial" w:cs="Arial"/>
                <w:b/>
                <w:bCs/>
                <w:sz w:val="20"/>
                <w:szCs w:val="20"/>
              </w:rPr>
              <w:t>Long-term Complications</w:t>
            </w:r>
          </w:p>
        </w:tc>
      </w:tr>
      <w:tr w:rsidR="00F2381B" w:rsidRPr="006D5C8D" w14:paraId="5874E8B6"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5510AB2" w14:textId="77777777" w:rsidR="00F2381B" w:rsidRPr="00F34FE4" w:rsidRDefault="00F2381B" w:rsidP="00364419">
            <w:pPr>
              <w:spacing w:after="0" w:line="240" w:lineRule="auto"/>
              <w:ind w:left="432"/>
              <w:rPr>
                <w:rFonts w:ascii="Arial" w:eastAsia="Times New Roman" w:hAnsi="Arial" w:cs="Arial"/>
                <w:b/>
                <w:bCs/>
                <w:sz w:val="20"/>
                <w:szCs w:val="20"/>
              </w:rPr>
            </w:pPr>
            <w:r>
              <w:rPr>
                <w:rFonts w:ascii="Arial" w:eastAsia="Times New Roman" w:hAnsi="Arial" w:cs="Arial"/>
                <w:b/>
                <w:bCs/>
                <w:sz w:val="20"/>
                <w:szCs w:val="20"/>
              </w:rPr>
              <w:t>Prolapse Recurrence</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144653"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56 (11.2)</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1DABB23"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23 (10.9)</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7F4A1783"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0.90</w:t>
            </w:r>
          </w:p>
        </w:tc>
      </w:tr>
      <w:tr w:rsidR="00F2381B" w:rsidRPr="006D5C8D" w14:paraId="43DBDD62" w14:textId="77777777" w:rsidTr="00364419">
        <w:tc>
          <w:tcPr>
            <w:tcW w:w="20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8106C28" w14:textId="77777777" w:rsidR="00F2381B" w:rsidRPr="00F34FE4" w:rsidRDefault="00F2381B" w:rsidP="00364419">
            <w:pPr>
              <w:spacing w:after="0" w:line="240" w:lineRule="auto"/>
              <w:ind w:left="432"/>
              <w:rPr>
                <w:rFonts w:ascii="Arial" w:eastAsia="Times New Roman" w:hAnsi="Arial" w:cs="Arial"/>
                <w:b/>
                <w:bCs/>
                <w:sz w:val="20"/>
                <w:szCs w:val="20"/>
              </w:rPr>
            </w:pPr>
            <w:r>
              <w:rPr>
                <w:rFonts w:ascii="Arial" w:eastAsia="Times New Roman" w:hAnsi="Arial" w:cs="Arial"/>
                <w:b/>
                <w:bCs/>
                <w:sz w:val="20"/>
                <w:szCs w:val="20"/>
              </w:rPr>
              <w:t>Mesh Complication</w:t>
            </w:r>
          </w:p>
        </w:tc>
        <w:tc>
          <w:tcPr>
            <w:tcW w:w="111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911EC6F"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6 (1.2)</w:t>
            </w:r>
          </w:p>
        </w:tc>
        <w:tc>
          <w:tcPr>
            <w:tcW w:w="106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4FA8371D"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4 (1.9)</w:t>
            </w:r>
          </w:p>
        </w:tc>
        <w:tc>
          <w:tcPr>
            <w:tcW w:w="7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35736BF" w14:textId="77777777" w:rsidR="00F2381B" w:rsidRDefault="00F2381B" w:rsidP="00364419">
            <w:pPr>
              <w:spacing w:after="0" w:line="240" w:lineRule="auto"/>
              <w:jc w:val="center"/>
              <w:rPr>
                <w:rFonts w:ascii="Arial" w:eastAsia="Times New Roman" w:hAnsi="Arial" w:cs="Arial"/>
                <w:sz w:val="20"/>
                <w:szCs w:val="20"/>
              </w:rPr>
            </w:pPr>
            <w:r>
              <w:rPr>
                <w:rFonts w:ascii="Arial" w:eastAsia="Times New Roman" w:hAnsi="Arial" w:cs="Arial"/>
                <w:sz w:val="20"/>
                <w:szCs w:val="20"/>
              </w:rPr>
              <w:t>0.49</w:t>
            </w:r>
          </w:p>
        </w:tc>
      </w:tr>
      <w:tr w:rsidR="00F2381B" w:rsidRPr="006D5C8D" w14:paraId="5A5BE20A" w14:textId="77777777" w:rsidTr="00364419">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4C8C194" w14:textId="77777777" w:rsidR="00F2381B" w:rsidRDefault="00F2381B" w:rsidP="00364419">
            <w:pPr>
              <w:spacing w:after="0" w:line="240" w:lineRule="auto"/>
              <w:rPr>
                <w:rFonts w:ascii="Arial" w:eastAsia="Times New Roman" w:hAnsi="Arial" w:cs="Arial"/>
                <w:sz w:val="20"/>
                <w:szCs w:val="20"/>
              </w:rPr>
            </w:pPr>
            <w:r>
              <w:rPr>
                <w:rFonts w:ascii="Arial" w:eastAsia="Times New Roman" w:hAnsi="Arial" w:cs="Arial"/>
                <w:sz w:val="20"/>
                <w:szCs w:val="20"/>
              </w:rPr>
              <w:t>ED: emergency department, SNF: skilled nursing facility, UTI: urinary tract infection, EBL: estimated blood loss, SSI: surgical site infection</w:t>
            </w:r>
          </w:p>
          <w:p w14:paraId="04B747D3" w14:textId="77777777" w:rsidR="00F2381B" w:rsidRDefault="00F2381B" w:rsidP="00364419">
            <w:pPr>
              <w:spacing w:after="0" w:line="240" w:lineRule="auto"/>
              <w:rPr>
                <w:rFonts w:ascii="Arial" w:eastAsia="Times New Roman" w:hAnsi="Arial" w:cs="Arial"/>
                <w:sz w:val="20"/>
                <w:szCs w:val="20"/>
              </w:rPr>
            </w:pPr>
            <w:r>
              <w:rPr>
                <w:rFonts w:ascii="Arial" w:eastAsia="Times New Roman" w:hAnsi="Arial" w:cs="Arial"/>
                <w:sz w:val="20"/>
                <w:szCs w:val="20"/>
              </w:rPr>
              <w:lastRenderedPageBreak/>
              <w:t xml:space="preserve">All adverse events occurred within 8 </w:t>
            </w:r>
            <w:proofErr w:type="gramStart"/>
            <w:r>
              <w:rPr>
                <w:rFonts w:ascii="Arial" w:eastAsia="Times New Roman" w:hAnsi="Arial" w:cs="Arial"/>
                <w:sz w:val="20"/>
                <w:szCs w:val="20"/>
              </w:rPr>
              <w:t>weeks</w:t>
            </w:r>
            <w:proofErr w:type="gramEnd"/>
            <w:r>
              <w:rPr>
                <w:rFonts w:ascii="Arial" w:eastAsia="Times New Roman" w:hAnsi="Arial" w:cs="Arial"/>
                <w:sz w:val="20"/>
                <w:szCs w:val="20"/>
              </w:rPr>
              <w:t xml:space="preserve"> postoperative except for mesh complication and prolapse recurrence which could occur at any point during follow-up. </w:t>
            </w:r>
          </w:p>
          <w:p w14:paraId="064B2333" w14:textId="77777777" w:rsidR="00F2381B" w:rsidRDefault="00F2381B" w:rsidP="00364419">
            <w:pPr>
              <w:spacing w:after="0" w:line="240" w:lineRule="auto"/>
              <w:rPr>
                <w:rFonts w:ascii="Arial" w:eastAsia="Times New Roman" w:hAnsi="Arial" w:cs="Arial"/>
                <w:sz w:val="20"/>
                <w:szCs w:val="20"/>
              </w:rPr>
            </w:pPr>
            <w:r>
              <w:rPr>
                <w:rFonts w:ascii="Arial" w:eastAsia="Times New Roman" w:hAnsi="Arial" w:cs="Arial"/>
                <w:sz w:val="20"/>
                <w:szCs w:val="20"/>
              </w:rPr>
              <w:t>Missing data for EBL (n=558).</w:t>
            </w:r>
          </w:p>
          <w:p w14:paraId="0B922230" w14:textId="77777777" w:rsidR="00F2381B" w:rsidRDefault="00F2381B" w:rsidP="00364419">
            <w:pPr>
              <w:spacing w:after="0" w:line="240" w:lineRule="auto"/>
              <w:rPr>
                <w:rFonts w:ascii="Arial" w:eastAsia="Times New Roman" w:hAnsi="Arial" w:cs="Arial"/>
                <w:sz w:val="20"/>
                <w:szCs w:val="20"/>
              </w:rPr>
            </w:pPr>
          </w:p>
          <w:p w14:paraId="003649EF" w14:textId="77777777" w:rsidR="00F2381B" w:rsidRDefault="00F2381B" w:rsidP="00364419">
            <w:pPr>
              <w:spacing w:after="0" w:line="240" w:lineRule="auto"/>
              <w:rPr>
                <w:rFonts w:ascii="Arial" w:eastAsia="Times New Roman" w:hAnsi="Arial" w:cs="Arial"/>
                <w:sz w:val="20"/>
                <w:szCs w:val="20"/>
              </w:rPr>
            </w:pPr>
            <w:r w:rsidRPr="00677ED4">
              <w:rPr>
                <w:rFonts w:ascii="Arial" w:eastAsia="Times New Roman" w:hAnsi="Arial" w:cs="Arial"/>
                <w:b/>
                <w:bCs/>
                <w:sz w:val="20"/>
                <w:szCs w:val="20"/>
              </w:rPr>
              <w:t>Composite adverse event</w:t>
            </w:r>
            <w:r>
              <w:rPr>
                <w:rFonts w:ascii="Arial" w:eastAsia="Times New Roman" w:hAnsi="Arial" w:cs="Arial"/>
                <w:b/>
                <w:bCs/>
                <w:sz w:val="20"/>
                <w:szCs w:val="20"/>
              </w:rPr>
              <w:t>s</w:t>
            </w:r>
            <w:r>
              <w:rPr>
                <w:rFonts w:ascii="Arial" w:eastAsia="Times New Roman" w:hAnsi="Arial" w:cs="Arial"/>
                <w:sz w:val="20"/>
                <w:szCs w:val="20"/>
              </w:rPr>
              <w:t xml:space="preserve"> outcome includes all 8-week adverse events: intraoperative complications (conversion to open, bladder injury, bowel injury, ureteral injury, EBL </w:t>
            </w:r>
            <w:r>
              <w:rPr>
                <w:rFonts w:ascii="Calibri" w:eastAsia="Times New Roman" w:hAnsi="Calibri" w:cs="Calibri"/>
                <w:sz w:val="20"/>
                <w:szCs w:val="20"/>
              </w:rPr>
              <w:t>≥</w:t>
            </w:r>
            <w:r>
              <w:rPr>
                <w:rFonts w:ascii="Arial" w:eastAsia="Times New Roman" w:hAnsi="Arial" w:cs="Arial"/>
                <w:sz w:val="20"/>
                <w:szCs w:val="20"/>
              </w:rPr>
              <w:t xml:space="preserve"> 500), venous thromboembolism, surgical site infections (superficial, deep, organ), wound dehiscence, blood transfusion, hematoma, </w:t>
            </w:r>
            <w:proofErr w:type="gramStart"/>
            <w:r>
              <w:rPr>
                <w:rFonts w:ascii="Arial" w:eastAsia="Times New Roman" w:hAnsi="Arial" w:cs="Arial"/>
                <w:sz w:val="20"/>
                <w:szCs w:val="20"/>
              </w:rPr>
              <w:t>ileus</w:t>
            </w:r>
            <w:proofErr w:type="gramEnd"/>
            <w:r>
              <w:rPr>
                <w:rFonts w:ascii="Arial" w:eastAsia="Times New Roman" w:hAnsi="Arial" w:cs="Arial"/>
                <w:sz w:val="20"/>
                <w:szCs w:val="20"/>
              </w:rPr>
              <w:t xml:space="preserve"> or small bowel obstruction, return to operating room, emergency room evaluation, non-routine admission, re-admission, postoperative urinary tract infection, and other complications.</w:t>
            </w:r>
          </w:p>
          <w:p w14:paraId="3DBEF5AB" w14:textId="77777777" w:rsidR="00F2381B" w:rsidRDefault="00F2381B" w:rsidP="00364419">
            <w:pPr>
              <w:spacing w:after="0" w:line="240" w:lineRule="auto"/>
              <w:rPr>
                <w:rFonts w:ascii="Arial" w:eastAsia="Times New Roman" w:hAnsi="Arial" w:cs="Arial"/>
                <w:sz w:val="20"/>
                <w:szCs w:val="20"/>
              </w:rPr>
            </w:pPr>
          </w:p>
          <w:p w14:paraId="61E38287" w14:textId="77777777" w:rsidR="00F2381B" w:rsidRDefault="00F2381B" w:rsidP="00364419">
            <w:pPr>
              <w:spacing w:after="0" w:line="240" w:lineRule="auto"/>
              <w:rPr>
                <w:rFonts w:ascii="Arial" w:eastAsia="Times New Roman" w:hAnsi="Arial" w:cs="Arial"/>
                <w:sz w:val="20"/>
                <w:szCs w:val="20"/>
              </w:rPr>
            </w:pPr>
            <w:r>
              <w:rPr>
                <w:rFonts w:ascii="Arial" w:eastAsia="Times New Roman" w:hAnsi="Arial" w:cs="Arial"/>
                <w:b/>
                <w:bCs/>
                <w:sz w:val="20"/>
                <w:szCs w:val="20"/>
              </w:rPr>
              <w:t>*</w:t>
            </w:r>
            <w:r w:rsidRPr="00677ED4">
              <w:rPr>
                <w:rFonts w:ascii="Arial" w:eastAsia="Times New Roman" w:hAnsi="Arial" w:cs="Arial"/>
                <w:b/>
                <w:bCs/>
                <w:sz w:val="20"/>
                <w:szCs w:val="20"/>
              </w:rPr>
              <w:t>Other complications</w:t>
            </w:r>
            <w:r>
              <w:rPr>
                <w:rFonts w:ascii="Arial" w:eastAsia="Times New Roman" w:hAnsi="Arial" w:cs="Arial"/>
                <w:sz w:val="20"/>
                <w:szCs w:val="20"/>
              </w:rPr>
              <w:t xml:space="preserve"> included skin rash/hives, ankle sprain, fallopian tube cancer, endometrial cancer, inferior epigastric artery injury, tooth abscess, vulvovaginal candidiasis, hyperglycemia, fall, vertigo, upper respiratory infection, bronchitis, influenza, COVID, C. difficile infection, pyelonephritis, lower extremity neuropathy, acute kidney injury, Crohn’s flare, motorcycle accident.</w:t>
            </w:r>
          </w:p>
          <w:p w14:paraId="7013625C" w14:textId="77777777" w:rsidR="00F2381B" w:rsidRDefault="00F2381B" w:rsidP="00364419">
            <w:pPr>
              <w:spacing w:after="0" w:line="240" w:lineRule="auto"/>
              <w:rPr>
                <w:rFonts w:ascii="Arial" w:eastAsia="Times New Roman" w:hAnsi="Arial" w:cs="Arial"/>
                <w:sz w:val="20"/>
                <w:szCs w:val="20"/>
              </w:rPr>
            </w:pPr>
          </w:p>
          <w:p w14:paraId="32B16426" w14:textId="77777777" w:rsidR="00F2381B" w:rsidRDefault="00F2381B" w:rsidP="00364419">
            <w:pPr>
              <w:spacing w:after="0" w:line="240" w:lineRule="auto"/>
              <w:rPr>
                <w:rFonts w:ascii="Arial" w:eastAsia="Times New Roman" w:hAnsi="Arial" w:cs="Arial"/>
                <w:sz w:val="20"/>
                <w:szCs w:val="20"/>
              </w:rPr>
            </w:pPr>
            <w:r>
              <w:rPr>
                <w:rFonts w:ascii="Arial" w:eastAsia="Times New Roman" w:hAnsi="Arial" w:cs="Arial"/>
                <w:sz w:val="20"/>
                <w:szCs w:val="20"/>
              </w:rPr>
              <w:t>Bolded values are significant (p&lt;0.05).</w:t>
            </w:r>
          </w:p>
        </w:tc>
      </w:tr>
    </w:tbl>
    <w:p w14:paraId="1810A1B3" w14:textId="77777777" w:rsidR="00DC1140" w:rsidRDefault="00DC1140"/>
    <w:sectPr w:rsidR="00DC1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81B"/>
    <w:rsid w:val="005327F0"/>
    <w:rsid w:val="006E22B3"/>
    <w:rsid w:val="00DC1140"/>
    <w:rsid w:val="00F23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EE32"/>
  <w15:chartTrackingRefBased/>
  <w15:docId w15:val="{FE3E48D3-DA60-46DA-BE79-8CF297AF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81B"/>
    <w:pPr>
      <w:spacing w:line="259" w:lineRule="auto"/>
    </w:pPr>
    <w:rPr>
      <w:kern w:val="0"/>
      <w:sz w:val="22"/>
      <w:szCs w:val="22"/>
      <w14:ligatures w14:val="none"/>
    </w:rPr>
  </w:style>
  <w:style w:type="paragraph" w:styleId="Heading1">
    <w:name w:val="heading 1"/>
    <w:basedOn w:val="Normal"/>
    <w:next w:val="Normal"/>
    <w:link w:val="Heading1Char"/>
    <w:uiPriority w:val="9"/>
    <w:qFormat/>
    <w:rsid w:val="00F2381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2381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2381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2381B"/>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2381B"/>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2381B"/>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2381B"/>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2381B"/>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2381B"/>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8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38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38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38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38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38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38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38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381B"/>
    <w:rPr>
      <w:rFonts w:eastAsiaTheme="majorEastAsia" w:cstheme="majorBidi"/>
      <w:color w:val="272727" w:themeColor="text1" w:themeTint="D8"/>
    </w:rPr>
  </w:style>
  <w:style w:type="paragraph" w:styleId="Title">
    <w:name w:val="Title"/>
    <w:basedOn w:val="Normal"/>
    <w:next w:val="Normal"/>
    <w:link w:val="TitleChar"/>
    <w:uiPriority w:val="10"/>
    <w:qFormat/>
    <w:rsid w:val="00F2381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238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381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238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381B"/>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2381B"/>
    <w:rPr>
      <w:i/>
      <w:iCs/>
      <w:color w:val="404040" w:themeColor="text1" w:themeTint="BF"/>
    </w:rPr>
  </w:style>
  <w:style w:type="paragraph" w:styleId="ListParagraph">
    <w:name w:val="List Paragraph"/>
    <w:basedOn w:val="Normal"/>
    <w:uiPriority w:val="34"/>
    <w:qFormat/>
    <w:rsid w:val="00F2381B"/>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F2381B"/>
    <w:rPr>
      <w:i/>
      <w:iCs/>
      <w:color w:val="0F4761" w:themeColor="accent1" w:themeShade="BF"/>
    </w:rPr>
  </w:style>
  <w:style w:type="paragraph" w:styleId="IntenseQuote">
    <w:name w:val="Intense Quote"/>
    <w:basedOn w:val="Normal"/>
    <w:next w:val="Normal"/>
    <w:link w:val="IntenseQuoteChar"/>
    <w:uiPriority w:val="30"/>
    <w:qFormat/>
    <w:rsid w:val="00F2381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2381B"/>
    <w:rPr>
      <w:i/>
      <w:iCs/>
      <w:color w:val="0F4761" w:themeColor="accent1" w:themeShade="BF"/>
    </w:rPr>
  </w:style>
  <w:style w:type="character" w:styleId="IntenseReference">
    <w:name w:val="Intense Reference"/>
    <w:basedOn w:val="DefaultParagraphFont"/>
    <w:uiPriority w:val="32"/>
    <w:qFormat/>
    <w:rsid w:val="00F238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Zuo, Stephanie</dc:creator>
  <cp:keywords/>
  <dc:description/>
  <cp:lastModifiedBy>Zuo, Stephanie</cp:lastModifiedBy>
  <cp:revision>1</cp:revision>
  <dcterms:created xsi:type="dcterms:W3CDTF">2024-04-11T20:46:00Z</dcterms:created>
  <dcterms:modified xsi:type="dcterms:W3CDTF">2024-04-11T20:46:00Z</dcterms:modified>
</cp:coreProperties>
</file>