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1FCC" w14:textId="3E65619A" w:rsidR="00F67174" w:rsidRPr="00F67174" w:rsidRDefault="00F67174" w:rsidP="00F67174">
      <w:r w:rsidRPr="00B404A7">
        <w:rPr>
          <w:b/>
          <w:bCs/>
        </w:rPr>
        <w:t>Table 1</w:t>
      </w:r>
      <w:r>
        <w:rPr>
          <w:b/>
          <w:bCs/>
        </w:rPr>
        <w:t xml:space="preserve">: </w:t>
      </w:r>
      <w:r w:rsidRPr="00CD1C7A">
        <w:t>Physician Ratings of ChatGPT Responses.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0"/>
        <w:gridCol w:w="1306"/>
        <w:gridCol w:w="1087"/>
        <w:gridCol w:w="1082"/>
        <w:gridCol w:w="1080"/>
        <w:gridCol w:w="1345"/>
      </w:tblGrid>
      <w:tr w:rsidR="00F67174" w:rsidRPr="00B404A7" w14:paraId="493AE26B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1BFE99D2" w14:textId="77777777" w:rsidR="00F67174" w:rsidRPr="00B404A7" w:rsidRDefault="00F67174" w:rsidP="008748B2"/>
        </w:tc>
        <w:tc>
          <w:tcPr>
            <w:tcW w:w="1306" w:type="dxa"/>
            <w:noWrap/>
            <w:hideMark/>
          </w:tcPr>
          <w:p w14:paraId="115FD66C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rMUS</w:t>
            </w:r>
          </w:p>
        </w:tc>
        <w:tc>
          <w:tcPr>
            <w:tcW w:w="1087" w:type="dxa"/>
            <w:noWrap/>
            <w:hideMark/>
          </w:tcPr>
          <w:p w14:paraId="24B1AB80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TVH</w:t>
            </w:r>
          </w:p>
        </w:tc>
        <w:tc>
          <w:tcPr>
            <w:tcW w:w="1082" w:type="dxa"/>
            <w:noWrap/>
            <w:hideMark/>
          </w:tcPr>
          <w:p w14:paraId="4F0D252A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USLS</w:t>
            </w:r>
          </w:p>
        </w:tc>
        <w:tc>
          <w:tcPr>
            <w:tcW w:w="1080" w:type="dxa"/>
            <w:noWrap/>
            <w:hideMark/>
          </w:tcPr>
          <w:p w14:paraId="4657AA07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SCP</w:t>
            </w:r>
          </w:p>
        </w:tc>
        <w:tc>
          <w:tcPr>
            <w:tcW w:w="1345" w:type="dxa"/>
          </w:tcPr>
          <w:p w14:paraId="2C22AC5B" w14:textId="77777777" w:rsidR="00F67174" w:rsidRPr="00B404A7" w:rsidRDefault="00F67174" w:rsidP="008748B2">
            <w:pPr>
              <w:rPr>
                <w:b/>
                <w:bCs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Combined</w:t>
            </w:r>
          </w:p>
        </w:tc>
      </w:tr>
      <w:tr w:rsidR="00F67174" w:rsidRPr="00B404A7" w14:paraId="67DAA494" w14:textId="77777777" w:rsidTr="008748B2">
        <w:trPr>
          <w:trHeight w:val="320"/>
        </w:trPr>
        <w:tc>
          <w:tcPr>
            <w:tcW w:w="3450" w:type="dxa"/>
            <w:noWrap/>
          </w:tcPr>
          <w:p w14:paraId="730D0806" w14:textId="69007F90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DISCERN Q1-8: Reliability, me</w:t>
            </w:r>
            <w:r>
              <w:rPr>
                <w:b/>
                <w:bCs/>
              </w:rPr>
              <w:t>di</w:t>
            </w:r>
            <w:r w:rsidRPr="00B404A7">
              <w:rPr>
                <w:b/>
                <w:bCs/>
              </w:rPr>
              <w:t>an (IQR)</w:t>
            </w:r>
          </w:p>
        </w:tc>
        <w:tc>
          <w:tcPr>
            <w:tcW w:w="1306" w:type="dxa"/>
            <w:noWrap/>
          </w:tcPr>
          <w:p w14:paraId="55F9B043" w14:textId="77777777" w:rsidR="00F67174" w:rsidRPr="00B404A7" w:rsidRDefault="00F67174" w:rsidP="008748B2">
            <w:r w:rsidRPr="00B404A7">
              <w:t>3 (3-5)</w:t>
            </w:r>
          </w:p>
        </w:tc>
        <w:tc>
          <w:tcPr>
            <w:tcW w:w="1087" w:type="dxa"/>
            <w:noWrap/>
          </w:tcPr>
          <w:p w14:paraId="66EBCB56" w14:textId="77777777" w:rsidR="00F67174" w:rsidRPr="00B404A7" w:rsidRDefault="00F67174" w:rsidP="008748B2">
            <w:r w:rsidRPr="00B404A7">
              <w:t>3 (2.5-5)</w:t>
            </w:r>
          </w:p>
        </w:tc>
        <w:tc>
          <w:tcPr>
            <w:tcW w:w="1082" w:type="dxa"/>
            <w:noWrap/>
          </w:tcPr>
          <w:p w14:paraId="7EE489A4" w14:textId="77777777" w:rsidR="00F67174" w:rsidRPr="00B404A7" w:rsidRDefault="00F67174" w:rsidP="008748B2">
            <w:r w:rsidRPr="00B404A7">
              <w:t>3 (2.5-5)</w:t>
            </w:r>
          </w:p>
        </w:tc>
        <w:tc>
          <w:tcPr>
            <w:tcW w:w="1080" w:type="dxa"/>
            <w:noWrap/>
          </w:tcPr>
          <w:p w14:paraId="20814BE5" w14:textId="77777777" w:rsidR="00F67174" w:rsidRPr="00B404A7" w:rsidRDefault="00F67174" w:rsidP="008748B2">
            <w:r w:rsidRPr="00B404A7">
              <w:t>3 (3-5)</w:t>
            </w:r>
          </w:p>
        </w:tc>
        <w:tc>
          <w:tcPr>
            <w:tcW w:w="1345" w:type="dxa"/>
          </w:tcPr>
          <w:p w14:paraId="1B4958A6" w14:textId="77777777" w:rsidR="00F67174" w:rsidRDefault="00F67174" w:rsidP="008748B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 (2-5)</w:t>
            </w:r>
          </w:p>
        </w:tc>
      </w:tr>
      <w:tr w:rsidR="00F67174" w:rsidRPr="00B404A7" w14:paraId="1FA0A586" w14:textId="77777777" w:rsidTr="008748B2">
        <w:trPr>
          <w:trHeight w:val="320"/>
        </w:trPr>
        <w:tc>
          <w:tcPr>
            <w:tcW w:w="3450" w:type="dxa"/>
            <w:noWrap/>
          </w:tcPr>
          <w:p w14:paraId="49E8BE85" w14:textId="42A13129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DISCERN Q9-15: Treatment options, me</w:t>
            </w:r>
            <w:r>
              <w:rPr>
                <w:b/>
                <w:bCs/>
              </w:rPr>
              <w:t>di</w:t>
            </w:r>
            <w:r w:rsidRPr="00B404A7">
              <w:rPr>
                <w:b/>
                <w:bCs/>
              </w:rPr>
              <w:t>an (IQR)</w:t>
            </w:r>
          </w:p>
        </w:tc>
        <w:tc>
          <w:tcPr>
            <w:tcW w:w="1306" w:type="dxa"/>
            <w:noWrap/>
          </w:tcPr>
          <w:p w14:paraId="00E1DEB8" w14:textId="77777777" w:rsidR="00F67174" w:rsidRPr="00B404A7" w:rsidRDefault="00F67174" w:rsidP="008748B2">
            <w:r w:rsidRPr="00B404A7">
              <w:t>5 (4-5)</w:t>
            </w:r>
          </w:p>
        </w:tc>
        <w:tc>
          <w:tcPr>
            <w:tcW w:w="1087" w:type="dxa"/>
            <w:noWrap/>
          </w:tcPr>
          <w:p w14:paraId="7429E99F" w14:textId="77777777" w:rsidR="00F67174" w:rsidRPr="00B404A7" w:rsidRDefault="00F67174" w:rsidP="008748B2">
            <w:r w:rsidRPr="00B404A7">
              <w:t>4 (3-5)</w:t>
            </w:r>
          </w:p>
        </w:tc>
        <w:tc>
          <w:tcPr>
            <w:tcW w:w="1082" w:type="dxa"/>
            <w:noWrap/>
          </w:tcPr>
          <w:p w14:paraId="06F45C1F" w14:textId="77777777" w:rsidR="00F67174" w:rsidRPr="00B404A7" w:rsidRDefault="00F67174" w:rsidP="008748B2">
            <w:r w:rsidRPr="00B404A7">
              <w:t>5 (4-5)</w:t>
            </w:r>
          </w:p>
        </w:tc>
        <w:tc>
          <w:tcPr>
            <w:tcW w:w="1080" w:type="dxa"/>
            <w:noWrap/>
          </w:tcPr>
          <w:p w14:paraId="677ECABB" w14:textId="77777777" w:rsidR="00F67174" w:rsidRPr="00B404A7" w:rsidRDefault="00F67174" w:rsidP="008748B2">
            <w:r w:rsidRPr="00B404A7">
              <w:t>5 (4-5)</w:t>
            </w:r>
          </w:p>
        </w:tc>
        <w:tc>
          <w:tcPr>
            <w:tcW w:w="1345" w:type="dxa"/>
          </w:tcPr>
          <w:p w14:paraId="06344DFD" w14:textId="77777777" w:rsidR="00F67174" w:rsidRDefault="00F67174" w:rsidP="008748B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5 (4-5)</w:t>
            </w:r>
          </w:p>
        </w:tc>
      </w:tr>
      <w:tr w:rsidR="00F67174" w:rsidRPr="00B404A7" w14:paraId="4E045A5D" w14:textId="77777777" w:rsidTr="008748B2">
        <w:trPr>
          <w:trHeight w:val="320"/>
        </w:trPr>
        <w:tc>
          <w:tcPr>
            <w:tcW w:w="3450" w:type="dxa"/>
            <w:noWrap/>
          </w:tcPr>
          <w:p w14:paraId="70FACB83" w14:textId="22D6249A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DISCERN Q16: Overall rating, me</w:t>
            </w:r>
            <w:r>
              <w:rPr>
                <w:b/>
                <w:bCs/>
              </w:rPr>
              <w:t>di</w:t>
            </w:r>
            <w:r w:rsidRPr="00B404A7">
              <w:rPr>
                <w:b/>
                <w:bCs/>
              </w:rPr>
              <w:t>an (IQR)</w:t>
            </w:r>
          </w:p>
        </w:tc>
        <w:tc>
          <w:tcPr>
            <w:tcW w:w="1306" w:type="dxa"/>
            <w:noWrap/>
          </w:tcPr>
          <w:p w14:paraId="605E4584" w14:textId="77777777" w:rsidR="00F67174" w:rsidRPr="00B404A7" w:rsidRDefault="00F67174" w:rsidP="008748B2">
            <w:r w:rsidRPr="00B404A7">
              <w:t>4 (3.3-4.0)</w:t>
            </w:r>
          </w:p>
        </w:tc>
        <w:tc>
          <w:tcPr>
            <w:tcW w:w="1087" w:type="dxa"/>
            <w:noWrap/>
          </w:tcPr>
          <w:p w14:paraId="1B9DCC92" w14:textId="77777777" w:rsidR="00F67174" w:rsidRPr="00B404A7" w:rsidRDefault="00F67174" w:rsidP="008748B2">
            <w:r w:rsidRPr="00B404A7">
              <w:t>3.5 (3-4)</w:t>
            </w:r>
          </w:p>
        </w:tc>
        <w:tc>
          <w:tcPr>
            <w:tcW w:w="1082" w:type="dxa"/>
            <w:noWrap/>
          </w:tcPr>
          <w:p w14:paraId="0FBDBAEF" w14:textId="77777777" w:rsidR="00F67174" w:rsidRPr="00B404A7" w:rsidRDefault="00F67174" w:rsidP="008748B2">
            <w:r w:rsidRPr="00B404A7">
              <w:t>3 (3-3)</w:t>
            </w:r>
          </w:p>
        </w:tc>
        <w:tc>
          <w:tcPr>
            <w:tcW w:w="1080" w:type="dxa"/>
            <w:noWrap/>
          </w:tcPr>
          <w:p w14:paraId="7CB917A5" w14:textId="77777777" w:rsidR="00F67174" w:rsidRPr="00B404A7" w:rsidRDefault="00F67174" w:rsidP="008748B2">
            <w:r w:rsidRPr="00B404A7">
              <w:t>3.5 (3-4)</w:t>
            </w:r>
          </w:p>
        </w:tc>
        <w:tc>
          <w:tcPr>
            <w:tcW w:w="1345" w:type="dxa"/>
          </w:tcPr>
          <w:p w14:paraId="63CD1751" w14:textId="77777777" w:rsidR="00F67174" w:rsidRDefault="00F67174" w:rsidP="008748B2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3 (3-4)</w:t>
            </w:r>
          </w:p>
        </w:tc>
      </w:tr>
      <w:tr w:rsidR="00F67174" w:rsidRPr="00B404A7" w14:paraId="533F50E8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180B76C2" w14:textId="173C9A50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4-point scale, me</w:t>
            </w:r>
            <w:r>
              <w:rPr>
                <w:b/>
                <w:bCs/>
              </w:rPr>
              <w:t>di</w:t>
            </w:r>
            <w:r w:rsidRPr="00B404A7">
              <w:rPr>
                <w:b/>
                <w:bCs/>
              </w:rPr>
              <w:t>an (IQR)</w:t>
            </w:r>
          </w:p>
        </w:tc>
        <w:tc>
          <w:tcPr>
            <w:tcW w:w="1306" w:type="dxa"/>
            <w:noWrap/>
            <w:hideMark/>
          </w:tcPr>
          <w:p w14:paraId="0AD7A335" w14:textId="77777777" w:rsidR="00F67174" w:rsidRPr="00B404A7" w:rsidRDefault="00F67174" w:rsidP="008748B2">
            <w:r w:rsidRPr="00B404A7">
              <w:t>3 (2-4)</w:t>
            </w:r>
          </w:p>
        </w:tc>
        <w:tc>
          <w:tcPr>
            <w:tcW w:w="1087" w:type="dxa"/>
            <w:noWrap/>
            <w:hideMark/>
          </w:tcPr>
          <w:p w14:paraId="0D9CDA9C" w14:textId="77777777" w:rsidR="00F67174" w:rsidRPr="00B404A7" w:rsidRDefault="00F67174" w:rsidP="008748B2">
            <w:r w:rsidRPr="00B404A7">
              <w:t>4 (3-4)</w:t>
            </w:r>
          </w:p>
        </w:tc>
        <w:tc>
          <w:tcPr>
            <w:tcW w:w="1082" w:type="dxa"/>
            <w:noWrap/>
            <w:hideMark/>
          </w:tcPr>
          <w:p w14:paraId="557B488B" w14:textId="77777777" w:rsidR="00F67174" w:rsidRPr="00B404A7" w:rsidRDefault="00F67174" w:rsidP="008748B2">
            <w:r w:rsidRPr="00B404A7">
              <w:t>3 (2-4)</w:t>
            </w:r>
          </w:p>
        </w:tc>
        <w:tc>
          <w:tcPr>
            <w:tcW w:w="1080" w:type="dxa"/>
            <w:noWrap/>
            <w:hideMark/>
          </w:tcPr>
          <w:p w14:paraId="759AED56" w14:textId="77777777" w:rsidR="00F67174" w:rsidRPr="00B404A7" w:rsidRDefault="00F67174" w:rsidP="008748B2">
            <w:r w:rsidRPr="00B404A7">
              <w:t>3 (2-4)</w:t>
            </w:r>
          </w:p>
        </w:tc>
        <w:tc>
          <w:tcPr>
            <w:tcW w:w="1345" w:type="dxa"/>
          </w:tcPr>
          <w:p w14:paraId="538FEB36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3 (3-4)</w:t>
            </w:r>
          </w:p>
        </w:tc>
      </w:tr>
      <w:tr w:rsidR="00F67174" w:rsidRPr="00B404A7" w14:paraId="71D3EF8A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3F0FA966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 xml:space="preserve">     4-point scale = 4 pts</w:t>
            </w:r>
          </w:p>
        </w:tc>
        <w:tc>
          <w:tcPr>
            <w:tcW w:w="1306" w:type="dxa"/>
            <w:noWrap/>
            <w:hideMark/>
          </w:tcPr>
          <w:p w14:paraId="56E29514" w14:textId="77777777" w:rsidR="00F67174" w:rsidRPr="00B404A7" w:rsidRDefault="00F67174" w:rsidP="008748B2">
            <w:r w:rsidRPr="00B404A7">
              <w:t>45.2%</w:t>
            </w:r>
          </w:p>
        </w:tc>
        <w:tc>
          <w:tcPr>
            <w:tcW w:w="1087" w:type="dxa"/>
            <w:noWrap/>
            <w:hideMark/>
          </w:tcPr>
          <w:p w14:paraId="4D7E171A" w14:textId="77777777" w:rsidR="00F67174" w:rsidRPr="00B404A7" w:rsidRDefault="00F67174" w:rsidP="008748B2">
            <w:r w:rsidRPr="00B404A7">
              <w:t>57.1%</w:t>
            </w:r>
          </w:p>
        </w:tc>
        <w:tc>
          <w:tcPr>
            <w:tcW w:w="1082" w:type="dxa"/>
            <w:noWrap/>
            <w:hideMark/>
          </w:tcPr>
          <w:p w14:paraId="79491D6E" w14:textId="77777777" w:rsidR="00F67174" w:rsidRPr="00B404A7" w:rsidRDefault="00F67174" w:rsidP="008748B2">
            <w:r w:rsidRPr="00B404A7">
              <w:t>35.7%</w:t>
            </w:r>
          </w:p>
        </w:tc>
        <w:tc>
          <w:tcPr>
            <w:tcW w:w="1080" w:type="dxa"/>
            <w:noWrap/>
            <w:hideMark/>
          </w:tcPr>
          <w:p w14:paraId="04FAEEC3" w14:textId="77777777" w:rsidR="00F67174" w:rsidRPr="00B404A7" w:rsidRDefault="00F67174" w:rsidP="008748B2">
            <w:r w:rsidRPr="00B404A7">
              <w:t>38.1%</w:t>
            </w:r>
          </w:p>
        </w:tc>
        <w:tc>
          <w:tcPr>
            <w:tcW w:w="1345" w:type="dxa"/>
          </w:tcPr>
          <w:p w14:paraId="29A6749A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44.0%</w:t>
            </w:r>
          </w:p>
        </w:tc>
      </w:tr>
      <w:tr w:rsidR="00F67174" w:rsidRPr="00B404A7" w14:paraId="6F0684B3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6A9978CB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 xml:space="preserve">     4-point scale = 3 pts</w:t>
            </w:r>
          </w:p>
        </w:tc>
        <w:tc>
          <w:tcPr>
            <w:tcW w:w="1306" w:type="dxa"/>
            <w:noWrap/>
            <w:hideMark/>
          </w:tcPr>
          <w:p w14:paraId="1CBBE0BC" w14:textId="77777777" w:rsidR="00F67174" w:rsidRPr="00B404A7" w:rsidRDefault="00F67174" w:rsidP="008748B2">
            <w:r w:rsidRPr="00B404A7">
              <w:t>26.2%</w:t>
            </w:r>
          </w:p>
        </w:tc>
        <w:tc>
          <w:tcPr>
            <w:tcW w:w="1087" w:type="dxa"/>
            <w:noWrap/>
            <w:hideMark/>
          </w:tcPr>
          <w:p w14:paraId="6EA94FBB" w14:textId="77777777" w:rsidR="00F67174" w:rsidRPr="00B404A7" w:rsidRDefault="00F67174" w:rsidP="008748B2">
            <w:r w:rsidRPr="00B404A7">
              <w:t>21.4%</w:t>
            </w:r>
          </w:p>
        </w:tc>
        <w:tc>
          <w:tcPr>
            <w:tcW w:w="1082" w:type="dxa"/>
            <w:noWrap/>
            <w:hideMark/>
          </w:tcPr>
          <w:p w14:paraId="7064A50D" w14:textId="77777777" w:rsidR="00F67174" w:rsidRPr="00B404A7" w:rsidRDefault="00F67174" w:rsidP="008748B2">
            <w:r w:rsidRPr="00B404A7">
              <w:t>21.4%</w:t>
            </w:r>
          </w:p>
        </w:tc>
        <w:tc>
          <w:tcPr>
            <w:tcW w:w="1080" w:type="dxa"/>
            <w:noWrap/>
            <w:hideMark/>
          </w:tcPr>
          <w:p w14:paraId="601CE81F" w14:textId="77777777" w:rsidR="00F67174" w:rsidRPr="00B404A7" w:rsidRDefault="00F67174" w:rsidP="008748B2">
            <w:r w:rsidRPr="00B404A7">
              <w:t>21.4%</w:t>
            </w:r>
          </w:p>
        </w:tc>
        <w:tc>
          <w:tcPr>
            <w:tcW w:w="1345" w:type="dxa"/>
          </w:tcPr>
          <w:p w14:paraId="5001C59A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22.6%</w:t>
            </w:r>
          </w:p>
        </w:tc>
      </w:tr>
      <w:tr w:rsidR="00F67174" w:rsidRPr="00B404A7" w14:paraId="7E5AFA8A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681DCC79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 xml:space="preserve">     4-point scale = 2 pts</w:t>
            </w:r>
          </w:p>
        </w:tc>
        <w:tc>
          <w:tcPr>
            <w:tcW w:w="1306" w:type="dxa"/>
            <w:noWrap/>
            <w:hideMark/>
          </w:tcPr>
          <w:p w14:paraId="5A3A2B20" w14:textId="77777777" w:rsidR="00F67174" w:rsidRPr="00B404A7" w:rsidRDefault="00F67174" w:rsidP="008748B2">
            <w:r w:rsidRPr="00B404A7">
              <w:t>23.8%</w:t>
            </w:r>
          </w:p>
        </w:tc>
        <w:tc>
          <w:tcPr>
            <w:tcW w:w="1087" w:type="dxa"/>
            <w:noWrap/>
            <w:hideMark/>
          </w:tcPr>
          <w:p w14:paraId="04955D6B" w14:textId="77777777" w:rsidR="00F67174" w:rsidRPr="00B404A7" w:rsidRDefault="00F67174" w:rsidP="008748B2">
            <w:r w:rsidRPr="00B404A7">
              <w:t>19.0%</w:t>
            </w:r>
          </w:p>
        </w:tc>
        <w:tc>
          <w:tcPr>
            <w:tcW w:w="1082" w:type="dxa"/>
            <w:noWrap/>
            <w:hideMark/>
          </w:tcPr>
          <w:p w14:paraId="712D8FD6" w14:textId="77777777" w:rsidR="00F67174" w:rsidRPr="00B404A7" w:rsidRDefault="00F67174" w:rsidP="008748B2">
            <w:r w:rsidRPr="00B404A7">
              <w:t>38.1%</w:t>
            </w:r>
          </w:p>
        </w:tc>
        <w:tc>
          <w:tcPr>
            <w:tcW w:w="1080" w:type="dxa"/>
            <w:noWrap/>
            <w:hideMark/>
          </w:tcPr>
          <w:p w14:paraId="7BF3E6E5" w14:textId="77777777" w:rsidR="00F67174" w:rsidRPr="00B404A7" w:rsidRDefault="00F67174" w:rsidP="008748B2">
            <w:r w:rsidRPr="00B404A7">
              <w:t>38.1%</w:t>
            </w:r>
          </w:p>
        </w:tc>
        <w:tc>
          <w:tcPr>
            <w:tcW w:w="1345" w:type="dxa"/>
          </w:tcPr>
          <w:p w14:paraId="56EDDD98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29.8%</w:t>
            </w:r>
          </w:p>
        </w:tc>
      </w:tr>
      <w:tr w:rsidR="00F67174" w:rsidRPr="00B404A7" w14:paraId="3AE950C8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034A76AC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 xml:space="preserve">     4-point scale = 1 pts</w:t>
            </w:r>
          </w:p>
        </w:tc>
        <w:tc>
          <w:tcPr>
            <w:tcW w:w="1306" w:type="dxa"/>
            <w:noWrap/>
            <w:hideMark/>
          </w:tcPr>
          <w:p w14:paraId="5AB765BF" w14:textId="77777777" w:rsidR="00F67174" w:rsidRPr="00B404A7" w:rsidRDefault="00F67174" w:rsidP="008748B2">
            <w:r w:rsidRPr="00B404A7">
              <w:t>4.8%</w:t>
            </w:r>
          </w:p>
        </w:tc>
        <w:tc>
          <w:tcPr>
            <w:tcW w:w="1087" w:type="dxa"/>
            <w:noWrap/>
            <w:hideMark/>
          </w:tcPr>
          <w:p w14:paraId="48C7323F" w14:textId="77777777" w:rsidR="00F67174" w:rsidRPr="00B404A7" w:rsidRDefault="00F67174" w:rsidP="008748B2">
            <w:r w:rsidRPr="00B404A7">
              <w:t>2.4%</w:t>
            </w:r>
          </w:p>
        </w:tc>
        <w:tc>
          <w:tcPr>
            <w:tcW w:w="1082" w:type="dxa"/>
            <w:noWrap/>
            <w:hideMark/>
          </w:tcPr>
          <w:p w14:paraId="1CDF6DE9" w14:textId="77777777" w:rsidR="00F67174" w:rsidRPr="00B404A7" w:rsidRDefault="00F67174" w:rsidP="008748B2">
            <w:r w:rsidRPr="00B404A7">
              <w:t>2.5%</w:t>
            </w:r>
          </w:p>
        </w:tc>
        <w:tc>
          <w:tcPr>
            <w:tcW w:w="1080" w:type="dxa"/>
            <w:noWrap/>
            <w:hideMark/>
          </w:tcPr>
          <w:p w14:paraId="42884103" w14:textId="77777777" w:rsidR="00F67174" w:rsidRPr="00B404A7" w:rsidRDefault="00F67174" w:rsidP="008748B2">
            <w:r w:rsidRPr="00B404A7">
              <w:t>2.4%</w:t>
            </w:r>
          </w:p>
        </w:tc>
        <w:tc>
          <w:tcPr>
            <w:tcW w:w="1345" w:type="dxa"/>
          </w:tcPr>
          <w:p w14:paraId="0032E0DE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3.6%</w:t>
            </w:r>
          </w:p>
        </w:tc>
      </w:tr>
      <w:tr w:rsidR="00F67174" w:rsidRPr="00B404A7" w14:paraId="71F8439A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23CCE1F9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Flesch-Kincaid Grade level, mean (SD)</w:t>
            </w:r>
          </w:p>
        </w:tc>
        <w:tc>
          <w:tcPr>
            <w:tcW w:w="1306" w:type="dxa"/>
            <w:noWrap/>
            <w:hideMark/>
          </w:tcPr>
          <w:p w14:paraId="0605E31B" w14:textId="77777777" w:rsidR="00F67174" w:rsidRPr="00B404A7" w:rsidRDefault="00F67174" w:rsidP="008748B2">
            <w:r w:rsidRPr="00B404A7">
              <w:t>17.3 (2.1)</w:t>
            </w:r>
          </w:p>
        </w:tc>
        <w:tc>
          <w:tcPr>
            <w:tcW w:w="1087" w:type="dxa"/>
            <w:noWrap/>
            <w:hideMark/>
          </w:tcPr>
          <w:p w14:paraId="2AE62786" w14:textId="77777777" w:rsidR="00F67174" w:rsidRPr="00B404A7" w:rsidRDefault="00F67174" w:rsidP="008748B2">
            <w:r w:rsidRPr="00B404A7">
              <w:t>17.0 (1.7)</w:t>
            </w:r>
          </w:p>
        </w:tc>
        <w:tc>
          <w:tcPr>
            <w:tcW w:w="1082" w:type="dxa"/>
            <w:noWrap/>
            <w:hideMark/>
          </w:tcPr>
          <w:p w14:paraId="5A8719AB" w14:textId="77777777" w:rsidR="00F67174" w:rsidRPr="00B404A7" w:rsidRDefault="00F67174" w:rsidP="008748B2">
            <w:r w:rsidRPr="00B404A7">
              <w:t>17.6 (2.7)</w:t>
            </w:r>
          </w:p>
        </w:tc>
        <w:tc>
          <w:tcPr>
            <w:tcW w:w="1080" w:type="dxa"/>
            <w:noWrap/>
            <w:hideMark/>
          </w:tcPr>
          <w:p w14:paraId="0BF094BC" w14:textId="77777777" w:rsidR="00F67174" w:rsidRPr="00B404A7" w:rsidRDefault="00F67174" w:rsidP="008748B2">
            <w:r w:rsidRPr="00B404A7">
              <w:t>18.1 (2.2)</w:t>
            </w:r>
          </w:p>
        </w:tc>
        <w:tc>
          <w:tcPr>
            <w:tcW w:w="1345" w:type="dxa"/>
          </w:tcPr>
          <w:p w14:paraId="27869B15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17.5 (2.1)</w:t>
            </w:r>
          </w:p>
        </w:tc>
      </w:tr>
      <w:tr w:rsidR="00F67174" w:rsidRPr="00B404A7" w14:paraId="7A516032" w14:textId="77777777" w:rsidTr="008748B2">
        <w:trPr>
          <w:trHeight w:val="320"/>
        </w:trPr>
        <w:tc>
          <w:tcPr>
            <w:tcW w:w="3450" w:type="dxa"/>
            <w:noWrap/>
            <w:hideMark/>
          </w:tcPr>
          <w:p w14:paraId="5C465604" w14:textId="77777777" w:rsidR="00F67174" w:rsidRPr="00B404A7" w:rsidRDefault="00F67174" w:rsidP="008748B2">
            <w:pPr>
              <w:rPr>
                <w:b/>
                <w:bCs/>
              </w:rPr>
            </w:pPr>
            <w:r w:rsidRPr="00B404A7">
              <w:rPr>
                <w:b/>
                <w:bCs/>
              </w:rPr>
              <w:t>Words per sentence, mean (SD)</w:t>
            </w:r>
          </w:p>
        </w:tc>
        <w:tc>
          <w:tcPr>
            <w:tcW w:w="1306" w:type="dxa"/>
            <w:noWrap/>
            <w:hideMark/>
          </w:tcPr>
          <w:p w14:paraId="115EC706" w14:textId="77777777" w:rsidR="00F67174" w:rsidRPr="00B404A7" w:rsidRDefault="00F67174" w:rsidP="008748B2">
            <w:r w:rsidRPr="00B404A7">
              <w:t>23.1 (2.4)</w:t>
            </w:r>
          </w:p>
        </w:tc>
        <w:tc>
          <w:tcPr>
            <w:tcW w:w="1087" w:type="dxa"/>
            <w:noWrap/>
            <w:hideMark/>
          </w:tcPr>
          <w:p w14:paraId="7C05F669" w14:textId="77777777" w:rsidR="00F67174" w:rsidRPr="00B404A7" w:rsidRDefault="00F67174" w:rsidP="008748B2">
            <w:r w:rsidRPr="00B404A7">
              <w:t>23.0 (2.9)</w:t>
            </w:r>
          </w:p>
        </w:tc>
        <w:tc>
          <w:tcPr>
            <w:tcW w:w="1082" w:type="dxa"/>
            <w:noWrap/>
            <w:hideMark/>
          </w:tcPr>
          <w:p w14:paraId="0BCB140E" w14:textId="77777777" w:rsidR="00F67174" w:rsidRPr="00B404A7" w:rsidRDefault="00F67174" w:rsidP="008748B2">
            <w:r w:rsidRPr="00B404A7">
              <w:t>22.8 (2.7)</w:t>
            </w:r>
          </w:p>
        </w:tc>
        <w:tc>
          <w:tcPr>
            <w:tcW w:w="1080" w:type="dxa"/>
            <w:noWrap/>
            <w:hideMark/>
          </w:tcPr>
          <w:p w14:paraId="08CD24F2" w14:textId="77777777" w:rsidR="00F67174" w:rsidRPr="00B404A7" w:rsidRDefault="00F67174" w:rsidP="008748B2">
            <w:r w:rsidRPr="00B404A7">
              <w:t>24.1 (3.6)</w:t>
            </w:r>
          </w:p>
        </w:tc>
        <w:tc>
          <w:tcPr>
            <w:tcW w:w="1345" w:type="dxa"/>
          </w:tcPr>
          <w:p w14:paraId="410F12CF" w14:textId="77777777" w:rsidR="00F67174" w:rsidRPr="00B404A7" w:rsidRDefault="00F67174" w:rsidP="008748B2">
            <w:r>
              <w:rPr>
                <w:rFonts w:ascii="Aptos Narrow" w:hAnsi="Aptos Narrow"/>
                <w:color w:val="000000"/>
              </w:rPr>
              <w:t>23.3 (2.8)</w:t>
            </w:r>
          </w:p>
        </w:tc>
      </w:tr>
    </w:tbl>
    <w:p w14:paraId="5359BC05" w14:textId="21246F92" w:rsidR="00F67174" w:rsidRDefault="00F67174"/>
    <w:p w14:paraId="7C4628A1" w14:textId="77777777" w:rsidR="000A397C" w:rsidRDefault="000A397C"/>
    <w:p w14:paraId="31B39808" w14:textId="77777777" w:rsidR="000A397C" w:rsidRDefault="000A397C"/>
    <w:p w14:paraId="0774A586" w14:textId="77777777" w:rsidR="000A397C" w:rsidRDefault="000A397C"/>
    <w:p w14:paraId="66CA286F" w14:textId="77777777" w:rsidR="000A397C" w:rsidRDefault="000A397C"/>
    <w:p w14:paraId="25524450" w14:textId="77777777" w:rsidR="000A397C" w:rsidRDefault="000A397C"/>
    <w:p w14:paraId="685D163E" w14:textId="77777777" w:rsidR="000A397C" w:rsidRDefault="000A397C"/>
    <w:sectPr w:rsidR="000A397C" w:rsidSect="00C23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74"/>
    <w:rsid w:val="000A397C"/>
    <w:rsid w:val="003B6522"/>
    <w:rsid w:val="004A7D14"/>
    <w:rsid w:val="00805891"/>
    <w:rsid w:val="00C23564"/>
    <w:rsid w:val="00E06B0C"/>
    <w:rsid w:val="00F67174"/>
    <w:rsid w:val="00F7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CBCDE7"/>
  <w15:chartTrackingRefBased/>
  <w15:docId w15:val="{7C501D3C-7C29-4142-A657-4173B8D8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174"/>
  </w:style>
  <w:style w:type="paragraph" w:styleId="Heading1">
    <w:name w:val="heading 1"/>
    <w:basedOn w:val="Normal"/>
    <w:next w:val="Normal"/>
    <w:link w:val="Heading1Char"/>
    <w:uiPriority w:val="9"/>
    <w:qFormat/>
    <w:rsid w:val="00F67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1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1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1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1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1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1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1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1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1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1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1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7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71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1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71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1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1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17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7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7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71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Johnson</dc:creator>
  <cp:keywords/>
  <dc:description/>
  <cp:lastModifiedBy>Emily Johnson</cp:lastModifiedBy>
  <cp:revision>3</cp:revision>
  <dcterms:created xsi:type="dcterms:W3CDTF">2024-04-10T14:37:00Z</dcterms:created>
  <dcterms:modified xsi:type="dcterms:W3CDTF">2024-04-10T15:28:00Z</dcterms:modified>
</cp:coreProperties>
</file>