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160"/>
        <w:gridCol w:w="2520"/>
        <w:gridCol w:w="1800"/>
        <w:gridCol w:w="1710"/>
        <w:gridCol w:w="1620"/>
        <w:gridCol w:w="1350"/>
      </w:tblGrid>
      <w:tr w:rsidR="00F73BC9" w:rsidRPr="00D53FF6" w14:paraId="6B4B64BD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261FEB6C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Sarcoma Subtype</w:t>
            </w:r>
          </w:p>
        </w:tc>
        <w:tc>
          <w:tcPr>
            <w:tcW w:w="2520" w:type="dxa"/>
            <w:shd w:val="pct5" w:color="auto" w:fill="auto"/>
          </w:tcPr>
          <w:p w14:paraId="31974A41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  <w:p w14:paraId="1408660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FAA4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N=105</w:t>
            </w:r>
          </w:p>
        </w:tc>
        <w:tc>
          <w:tcPr>
            <w:tcW w:w="1800" w:type="dxa"/>
            <w:shd w:val="pct5" w:color="auto" w:fill="auto"/>
          </w:tcPr>
          <w:p w14:paraId="22756B46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1=Breast Angiosarcoma</w:t>
            </w:r>
          </w:p>
          <w:p w14:paraId="0DA1165A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54 (51.4%)</w:t>
            </w:r>
          </w:p>
        </w:tc>
        <w:tc>
          <w:tcPr>
            <w:tcW w:w="1710" w:type="dxa"/>
            <w:shd w:val="pct5" w:color="auto" w:fill="auto"/>
          </w:tcPr>
          <w:p w14:paraId="77E33DD4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2=Osteosarcoma</w:t>
            </w:r>
          </w:p>
          <w:p w14:paraId="63C7E4A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12</w:t>
            </w:r>
          </w:p>
          <w:p w14:paraId="069ABCA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(11.4%)</w:t>
            </w:r>
          </w:p>
        </w:tc>
        <w:tc>
          <w:tcPr>
            <w:tcW w:w="1620" w:type="dxa"/>
            <w:shd w:val="pct5" w:color="auto" w:fill="auto"/>
          </w:tcPr>
          <w:p w14:paraId="7943DCB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3=Soft-Tissue Sarcoma*</w:t>
            </w:r>
          </w:p>
          <w:p w14:paraId="3B76F2A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39</w:t>
            </w:r>
          </w:p>
          <w:p w14:paraId="5D46F37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(37.1%)</w:t>
            </w:r>
          </w:p>
        </w:tc>
        <w:tc>
          <w:tcPr>
            <w:tcW w:w="1350" w:type="dxa"/>
            <w:shd w:val="pct5" w:color="auto" w:fill="auto"/>
          </w:tcPr>
          <w:p w14:paraId="05F6E211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P </w:t>
            </w:r>
            <w:r w:rsidRPr="007F233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Value</w:t>
            </w:r>
          </w:p>
        </w:tc>
      </w:tr>
      <w:tr w:rsidR="00F73BC9" w:rsidRPr="00D53FF6" w14:paraId="7ED45C87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46649A33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Surgery </w:t>
            </w:r>
          </w:p>
        </w:tc>
        <w:tc>
          <w:tcPr>
            <w:tcW w:w="2520" w:type="dxa"/>
            <w:shd w:val="clear" w:color="auto" w:fill="FFFFFF" w:themeFill="background1"/>
          </w:tcPr>
          <w:p w14:paraId="1C7C73F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14:paraId="6D79919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00" w:type="dxa"/>
            <w:shd w:val="clear" w:color="auto" w:fill="FFFFFF" w:themeFill="background1"/>
          </w:tcPr>
          <w:p w14:paraId="6BD4076E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402DE73E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0" w:type="dxa"/>
            <w:shd w:val="clear" w:color="auto" w:fill="FFFFFF" w:themeFill="background1"/>
          </w:tcPr>
          <w:p w14:paraId="3C0D1F1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5E6ED94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14:paraId="5D9322EE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14:paraId="70AFFAF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14:paraId="2A3CF01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0.07</w:t>
            </w:r>
          </w:p>
        </w:tc>
      </w:tr>
      <w:tr w:rsidR="00F73BC9" w:rsidRPr="00D53FF6" w14:paraId="7CF12F5A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33EE98A3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Surgical Margins </w:t>
            </w:r>
          </w:p>
        </w:tc>
        <w:tc>
          <w:tcPr>
            <w:tcW w:w="2520" w:type="dxa"/>
            <w:shd w:val="pct5" w:color="auto" w:fill="auto"/>
          </w:tcPr>
          <w:p w14:paraId="636266C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R0</w:t>
            </w:r>
          </w:p>
        </w:tc>
        <w:tc>
          <w:tcPr>
            <w:tcW w:w="1800" w:type="dxa"/>
            <w:shd w:val="pct5" w:color="auto" w:fill="auto"/>
          </w:tcPr>
          <w:p w14:paraId="510DB7A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10" w:type="dxa"/>
            <w:shd w:val="pct5" w:color="auto" w:fill="auto"/>
          </w:tcPr>
          <w:p w14:paraId="164BA04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pct5" w:color="auto" w:fill="auto"/>
          </w:tcPr>
          <w:p w14:paraId="6E51252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0" w:type="dxa"/>
            <w:shd w:val="pct5" w:color="auto" w:fill="auto"/>
          </w:tcPr>
          <w:p w14:paraId="3A0C179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0.017</w:t>
            </w:r>
          </w:p>
        </w:tc>
      </w:tr>
      <w:tr w:rsidR="00F73BC9" w:rsidRPr="00D53FF6" w14:paraId="3A959788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4BB27E70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5" w:color="auto" w:fill="auto"/>
          </w:tcPr>
          <w:p w14:paraId="19A97A8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1800" w:type="dxa"/>
            <w:shd w:val="pct5" w:color="auto" w:fill="auto"/>
          </w:tcPr>
          <w:p w14:paraId="15CDB5AE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pct5" w:color="auto" w:fill="auto"/>
          </w:tcPr>
          <w:p w14:paraId="0FBF8FA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pct5" w:color="auto" w:fill="auto"/>
          </w:tcPr>
          <w:p w14:paraId="42F5EEE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  <w:shd w:val="pct5" w:color="auto" w:fill="auto"/>
          </w:tcPr>
          <w:p w14:paraId="6FDADE7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3536AD30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17E312A7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5" w:color="auto" w:fill="auto"/>
          </w:tcPr>
          <w:p w14:paraId="7D4F46C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1800" w:type="dxa"/>
            <w:shd w:val="pct5" w:color="auto" w:fill="auto"/>
          </w:tcPr>
          <w:p w14:paraId="655AAC9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pct5" w:color="auto" w:fill="auto"/>
          </w:tcPr>
          <w:p w14:paraId="629BD92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pct5" w:color="auto" w:fill="auto"/>
          </w:tcPr>
          <w:p w14:paraId="0FE74F4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pct5" w:color="auto" w:fill="auto"/>
          </w:tcPr>
          <w:p w14:paraId="37D9AFB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757D2A88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0D9EDCA3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5" w:color="auto" w:fill="auto"/>
          </w:tcPr>
          <w:p w14:paraId="228316A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 xml:space="preserve">R0 </w:t>
            </w:r>
          </w:p>
          <w:p w14:paraId="1A0902C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R1/2</w:t>
            </w:r>
          </w:p>
        </w:tc>
        <w:tc>
          <w:tcPr>
            <w:tcW w:w="1800" w:type="dxa"/>
            <w:shd w:val="pct5" w:color="auto" w:fill="auto"/>
          </w:tcPr>
          <w:p w14:paraId="66BC344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  <w:p w14:paraId="5D2F6E0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  <w:shd w:val="pct5" w:color="auto" w:fill="auto"/>
          </w:tcPr>
          <w:p w14:paraId="7F9CC64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  <w:p w14:paraId="3C6F736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pct5" w:color="auto" w:fill="auto"/>
          </w:tcPr>
          <w:p w14:paraId="1AABEA2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</w:p>
          <w:p w14:paraId="50428D9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  <w:shd w:val="pct5" w:color="auto" w:fill="auto"/>
          </w:tcPr>
          <w:p w14:paraId="243DE4B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5888B9DD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5DD5979E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Grade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Unknown/UNK</w:t>
            </w: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=52)</w:t>
            </w:r>
          </w:p>
        </w:tc>
        <w:tc>
          <w:tcPr>
            <w:tcW w:w="2520" w:type="dxa"/>
            <w:shd w:val="clear" w:color="auto" w:fill="FFFFFF" w:themeFill="background1"/>
          </w:tcPr>
          <w:p w14:paraId="66267E1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14:paraId="6DC0DFB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</w:tcPr>
          <w:p w14:paraId="1B53971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FFFFFF" w:themeFill="background1"/>
          </w:tcPr>
          <w:p w14:paraId="70D85A4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14:paraId="370CE2A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0.025</w:t>
            </w:r>
          </w:p>
          <w:p w14:paraId="045F569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2187C651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104F2E2D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8AB347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14:paraId="6B09657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14:paraId="6286801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FFFFFF" w:themeFill="background1"/>
          </w:tcPr>
          <w:p w14:paraId="5CEBCD2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shd w:val="clear" w:color="auto" w:fill="FFFFFF" w:themeFill="background1"/>
          </w:tcPr>
          <w:p w14:paraId="5D29A40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6FF1BE1B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70CFD65B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05F657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</w:tcPr>
          <w:p w14:paraId="16C411D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</w:tcPr>
          <w:p w14:paraId="7AED6B4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14:paraId="013A4F0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  <w:shd w:val="clear" w:color="auto" w:fill="FFFFFF" w:themeFill="background1"/>
          </w:tcPr>
          <w:p w14:paraId="34F6824E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36822B0F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2816FA00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Max Diameter (cm)</w:t>
            </w:r>
          </w:p>
        </w:tc>
        <w:tc>
          <w:tcPr>
            <w:tcW w:w="2520" w:type="dxa"/>
            <w:shd w:val="pct5" w:color="auto" w:fill="auto"/>
          </w:tcPr>
          <w:p w14:paraId="1481885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Median(range)</w:t>
            </w:r>
          </w:p>
          <w:p w14:paraId="4857A61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B238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pct5" w:color="auto" w:fill="auto"/>
          </w:tcPr>
          <w:p w14:paraId="25DE0EB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51/54</w:t>
            </w:r>
          </w:p>
          <w:p w14:paraId="52E6555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4 (0.8 – 17.5)</w:t>
            </w:r>
          </w:p>
          <w:p w14:paraId="69640D6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2B70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pct5" w:color="auto" w:fill="auto"/>
          </w:tcPr>
          <w:p w14:paraId="6C14717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11/12</w:t>
            </w:r>
          </w:p>
          <w:p w14:paraId="6752C27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4.27 (1-8.4)</w:t>
            </w:r>
          </w:p>
          <w:p w14:paraId="6CFB4B6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7EDFA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pct5" w:color="auto" w:fill="auto"/>
          </w:tcPr>
          <w:p w14:paraId="1CC187E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35/39</w:t>
            </w:r>
          </w:p>
          <w:p w14:paraId="478895E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7.5 (1.8 – 23.5)</w:t>
            </w:r>
          </w:p>
          <w:p w14:paraId="5DEB434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04FB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pct5" w:color="auto" w:fill="auto"/>
          </w:tcPr>
          <w:p w14:paraId="467EC1F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W: 0.004</w:t>
            </w:r>
          </w:p>
          <w:p w14:paraId="07E3500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4AD673EE" w14:textId="77777777" w:rsidTr="00F73BC9">
        <w:trPr>
          <w:trHeight w:val="455"/>
          <w:jc w:val="center"/>
        </w:trPr>
        <w:tc>
          <w:tcPr>
            <w:tcW w:w="2160" w:type="dxa"/>
            <w:shd w:val="clear" w:color="auto" w:fill="FFFFFF" w:themeFill="background1"/>
          </w:tcPr>
          <w:p w14:paraId="3ABAA45C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Radiation</w:t>
            </w:r>
          </w:p>
        </w:tc>
        <w:tc>
          <w:tcPr>
            <w:tcW w:w="2520" w:type="dxa"/>
            <w:shd w:val="clear" w:color="auto" w:fill="FFFFFF" w:themeFill="background1"/>
          </w:tcPr>
          <w:p w14:paraId="254022F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Neoadjuvant</w:t>
            </w:r>
          </w:p>
        </w:tc>
        <w:tc>
          <w:tcPr>
            <w:tcW w:w="1800" w:type="dxa"/>
            <w:shd w:val="clear" w:color="auto" w:fill="FFFFFF" w:themeFill="background1"/>
          </w:tcPr>
          <w:p w14:paraId="2889DA1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</w:tcPr>
          <w:p w14:paraId="4B7F4F1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FFFFFF" w:themeFill="background1"/>
          </w:tcPr>
          <w:p w14:paraId="6E0AC0F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14:paraId="2D99646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&lt;.000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0AD7E6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328406B0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202A54E5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3078A1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Adjuvant</w:t>
            </w:r>
          </w:p>
        </w:tc>
        <w:tc>
          <w:tcPr>
            <w:tcW w:w="1800" w:type="dxa"/>
            <w:shd w:val="clear" w:color="auto" w:fill="FFFFFF" w:themeFill="background1"/>
          </w:tcPr>
          <w:p w14:paraId="2349775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</w:tcPr>
          <w:p w14:paraId="5473F60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14:paraId="7FB372CA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2247AB5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57DCF121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0E0153A0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F1D1C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Palliative</w:t>
            </w:r>
          </w:p>
        </w:tc>
        <w:tc>
          <w:tcPr>
            <w:tcW w:w="1800" w:type="dxa"/>
            <w:shd w:val="clear" w:color="auto" w:fill="FFFFFF" w:themeFill="background1"/>
          </w:tcPr>
          <w:p w14:paraId="4F08AE8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14:paraId="1B1C73F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14:paraId="2D98CAE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59ACDE6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2A7C5700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521B656A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0E78F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00" w:type="dxa"/>
            <w:shd w:val="clear" w:color="auto" w:fill="FFFFFF" w:themeFill="background1"/>
          </w:tcPr>
          <w:p w14:paraId="46434CF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  <w:shd w:val="clear" w:color="auto" w:fill="FFFFFF" w:themeFill="background1"/>
          </w:tcPr>
          <w:p w14:paraId="1EEC39C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FFFFFF" w:themeFill="background1"/>
          </w:tcPr>
          <w:p w14:paraId="6772836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0" w:type="dxa"/>
            <w:shd w:val="clear" w:color="auto" w:fill="FFFFFF" w:themeFill="background1"/>
          </w:tcPr>
          <w:p w14:paraId="2F27F20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785B6756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7F2262C7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5346CF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14:paraId="2744551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00" w:type="dxa"/>
            <w:shd w:val="clear" w:color="auto" w:fill="FFFFFF" w:themeFill="background1"/>
          </w:tcPr>
          <w:p w14:paraId="0381DAC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27B3DD3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  <w:shd w:val="clear" w:color="auto" w:fill="FFFFFF" w:themeFill="background1"/>
          </w:tcPr>
          <w:p w14:paraId="3A3957C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4EA136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FFFFFF" w:themeFill="background1"/>
          </w:tcPr>
          <w:p w14:paraId="62F6947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28AB128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0" w:type="dxa"/>
            <w:shd w:val="clear" w:color="auto" w:fill="FFFFFF" w:themeFill="background1"/>
          </w:tcPr>
          <w:p w14:paraId="45F2380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0.015</w:t>
            </w:r>
          </w:p>
        </w:tc>
      </w:tr>
      <w:tr w:rsidR="00F73BC9" w:rsidRPr="00D53FF6" w14:paraId="6B368C4C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65983A70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RT Dose (Gy)</w:t>
            </w:r>
          </w:p>
        </w:tc>
        <w:tc>
          <w:tcPr>
            <w:tcW w:w="2520" w:type="dxa"/>
            <w:shd w:val="pct5" w:color="auto" w:fill="auto"/>
          </w:tcPr>
          <w:p w14:paraId="1C06BF9E" w14:textId="77777777" w:rsidR="00F73BC9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1DD9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Median (range)</w:t>
            </w:r>
          </w:p>
          <w:p w14:paraId="5ECE2DB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B984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pct5" w:color="auto" w:fill="auto"/>
          </w:tcPr>
          <w:p w14:paraId="05CC848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19 / 19</w:t>
            </w:r>
          </w:p>
          <w:p w14:paraId="1204E82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44 (6.6 – 60)</w:t>
            </w:r>
          </w:p>
          <w:p w14:paraId="614A704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29E1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pct5" w:color="auto" w:fill="auto"/>
          </w:tcPr>
          <w:p w14:paraId="68380F6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3 / 3</w:t>
            </w:r>
          </w:p>
          <w:p w14:paraId="49B3D90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39 (30 – 59.4)</w:t>
            </w:r>
          </w:p>
          <w:p w14:paraId="1399CFFE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CECB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pct5" w:color="auto" w:fill="auto"/>
          </w:tcPr>
          <w:p w14:paraId="66A1C6C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24/24</w:t>
            </w:r>
          </w:p>
          <w:p w14:paraId="67529C4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44 (1.1 – 60)</w:t>
            </w:r>
          </w:p>
          <w:p w14:paraId="6742122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0460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pct5" w:color="auto" w:fill="auto"/>
          </w:tcPr>
          <w:p w14:paraId="274A5F4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W: 0.73</w:t>
            </w:r>
          </w:p>
        </w:tc>
      </w:tr>
      <w:tr w:rsidR="00F73BC9" w:rsidRPr="00D53FF6" w14:paraId="797AF48A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26B12776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RT Fractions</w:t>
            </w:r>
          </w:p>
          <w:p w14:paraId="7543AA6A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FED887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Median (range)</w:t>
            </w:r>
          </w:p>
          <w:p w14:paraId="1698FCB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30CB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9AC5A7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19/19</w:t>
            </w:r>
          </w:p>
          <w:p w14:paraId="3418779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28 (5 – 48)</w:t>
            </w:r>
          </w:p>
          <w:p w14:paraId="29B0408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7899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B56B2A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3 / 3</w:t>
            </w:r>
          </w:p>
          <w:p w14:paraId="280FDAF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13 (10-33)</w:t>
            </w:r>
          </w:p>
          <w:p w14:paraId="034F7DEA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E211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C69751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 = 24/24</w:t>
            </w:r>
          </w:p>
          <w:p w14:paraId="14BCA64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25 (1– 50)</w:t>
            </w:r>
          </w:p>
          <w:p w14:paraId="2443C5D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A817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9162F7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W: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  <w:p w14:paraId="7328A62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22B21F97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7D045255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Chemo</w:t>
            </w:r>
          </w:p>
        </w:tc>
        <w:tc>
          <w:tcPr>
            <w:tcW w:w="2520" w:type="dxa"/>
            <w:shd w:val="pct5" w:color="auto" w:fill="auto"/>
          </w:tcPr>
          <w:p w14:paraId="29D77EFE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14:paraId="4B2F905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00" w:type="dxa"/>
            <w:shd w:val="pct5" w:color="auto" w:fill="auto"/>
          </w:tcPr>
          <w:p w14:paraId="7AC1510A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14:paraId="654EDB0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0" w:type="dxa"/>
            <w:shd w:val="pct5" w:color="auto" w:fill="auto"/>
          </w:tcPr>
          <w:p w14:paraId="1D347E4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01DCECC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pct5" w:color="auto" w:fill="auto"/>
          </w:tcPr>
          <w:p w14:paraId="1374E56A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0691D9C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50" w:type="dxa"/>
            <w:shd w:val="pct5" w:color="auto" w:fill="auto"/>
          </w:tcPr>
          <w:p w14:paraId="245D19C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0.03</w:t>
            </w:r>
          </w:p>
        </w:tc>
      </w:tr>
      <w:tr w:rsidR="00F73BC9" w:rsidRPr="00D53FF6" w14:paraId="6EA1A86A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26729DDA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Neoadjuvant chemotherapy (NACT)</w:t>
            </w:r>
          </w:p>
        </w:tc>
        <w:tc>
          <w:tcPr>
            <w:tcW w:w="2520" w:type="dxa"/>
            <w:shd w:val="clear" w:color="auto" w:fill="FFFFFF" w:themeFill="background1"/>
          </w:tcPr>
          <w:p w14:paraId="161E7E4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14:paraId="2AE01C1A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00" w:type="dxa"/>
            <w:shd w:val="clear" w:color="auto" w:fill="FFFFFF" w:themeFill="background1"/>
          </w:tcPr>
          <w:p w14:paraId="72A2D9E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6C8E3F3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</w:tcPr>
          <w:p w14:paraId="281B37B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734ECC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14:paraId="046D4A5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FC9CB9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14:paraId="2B942D7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0.35</w:t>
            </w:r>
          </w:p>
        </w:tc>
      </w:tr>
      <w:tr w:rsidR="00F73BC9" w:rsidRPr="00D53FF6" w14:paraId="11797224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4AC6D774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Chemo agent</w:t>
            </w:r>
          </w:p>
        </w:tc>
        <w:tc>
          <w:tcPr>
            <w:tcW w:w="2520" w:type="dxa"/>
            <w:shd w:val="pct5" w:color="auto" w:fill="auto"/>
          </w:tcPr>
          <w:p w14:paraId="49445B2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Gemcitabine</w:t>
            </w:r>
          </w:p>
        </w:tc>
        <w:tc>
          <w:tcPr>
            <w:tcW w:w="1800" w:type="dxa"/>
            <w:shd w:val="pct5" w:color="auto" w:fill="auto"/>
          </w:tcPr>
          <w:p w14:paraId="5E6AA59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3C6050D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pct5" w:color="auto" w:fill="auto"/>
          </w:tcPr>
          <w:p w14:paraId="560991D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pct5" w:color="auto" w:fill="auto"/>
          </w:tcPr>
          <w:p w14:paraId="482D6B4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&lt;.000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3BC9" w:rsidRPr="00D53FF6" w14:paraId="260DA1A1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7B1C7F67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5" w:color="auto" w:fill="auto"/>
          </w:tcPr>
          <w:p w14:paraId="0F5098B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Paclitaxel</w:t>
            </w:r>
          </w:p>
        </w:tc>
        <w:tc>
          <w:tcPr>
            <w:tcW w:w="1800" w:type="dxa"/>
            <w:shd w:val="pct5" w:color="auto" w:fill="auto"/>
          </w:tcPr>
          <w:p w14:paraId="21FE84F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  <w:shd w:val="pct5" w:color="auto" w:fill="auto"/>
          </w:tcPr>
          <w:p w14:paraId="3C3F8FDC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pct5" w:color="auto" w:fill="auto"/>
          </w:tcPr>
          <w:p w14:paraId="6D7EB12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pct5" w:color="auto" w:fill="auto"/>
          </w:tcPr>
          <w:p w14:paraId="305E206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20B993CD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73FE5648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5" w:color="auto" w:fill="auto"/>
          </w:tcPr>
          <w:p w14:paraId="7F40FC3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Doxorubicin</w:t>
            </w:r>
          </w:p>
        </w:tc>
        <w:tc>
          <w:tcPr>
            <w:tcW w:w="1800" w:type="dxa"/>
            <w:shd w:val="pct5" w:color="auto" w:fill="auto"/>
          </w:tcPr>
          <w:p w14:paraId="7B18D81E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pct5" w:color="auto" w:fill="auto"/>
          </w:tcPr>
          <w:p w14:paraId="0327E6C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pct5" w:color="auto" w:fill="auto"/>
          </w:tcPr>
          <w:p w14:paraId="2CCCCE6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pct5" w:color="auto" w:fill="auto"/>
          </w:tcPr>
          <w:p w14:paraId="481675F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078086D1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0A67E2FD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5" w:color="auto" w:fill="auto"/>
          </w:tcPr>
          <w:p w14:paraId="4E7BAA4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 xml:space="preserve">Doxorubicin/Ifosfamide </w:t>
            </w:r>
          </w:p>
        </w:tc>
        <w:tc>
          <w:tcPr>
            <w:tcW w:w="1800" w:type="dxa"/>
            <w:shd w:val="pct5" w:color="auto" w:fill="auto"/>
          </w:tcPr>
          <w:p w14:paraId="7940194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2B163DB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pct5" w:color="auto" w:fill="auto"/>
          </w:tcPr>
          <w:p w14:paraId="0F4B553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shd w:val="pct5" w:color="auto" w:fill="auto"/>
          </w:tcPr>
          <w:p w14:paraId="581061B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1DBBE25A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68C0A649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5" w:color="auto" w:fill="auto"/>
          </w:tcPr>
          <w:p w14:paraId="41B83EB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Doxorubicin/Cisplatin +/- Methotrexate</w:t>
            </w:r>
          </w:p>
        </w:tc>
        <w:tc>
          <w:tcPr>
            <w:tcW w:w="1800" w:type="dxa"/>
            <w:shd w:val="pct5" w:color="auto" w:fill="auto"/>
          </w:tcPr>
          <w:p w14:paraId="544B10E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pct5" w:color="auto" w:fill="auto"/>
          </w:tcPr>
          <w:p w14:paraId="5ED3612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pct5" w:color="auto" w:fill="auto"/>
          </w:tcPr>
          <w:p w14:paraId="6E41FD3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pct5" w:color="auto" w:fill="auto"/>
          </w:tcPr>
          <w:p w14:paraId="749BF2B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7DC62394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4BE75842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5" w:color="auto" w:fill="auto"/>
          </w:tcPr>
          <w:p w14:paraId="0531B35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Gemcitabine/Docetaxel</w:t>
            </w:r>
          </w:p>
        </w:tc>
        <w:tc>
          <w:tcPr>
            <w:tcW w:w="1800" w:type="dxa"/>
            <w:shd w:val="pct5" w:color="auto" w:fill="auto"/>
          </w:tcPr>
          <w:p w14:paraId="5EBA08D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0" w:type="dxa"/>
            <w:shd w:val="pct5" w:color="auto" w:fill="auto"/>
          </w:tcPr>
          <w:p w14:paraId="21F2F49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pct5" w:color="auto" w:fill="auto"/>
          </w:tcPr>
          <w:p w14:paraId="009DB9F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pct5" w:color="auto" w:fill="auto"/>
          </w:tcPr>
          <w:p w14:paraId="3DF5122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5AD50737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354FE006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Response to NACT</w:t>
            </w:r>
          </w:p>
        </w:tc>
        <w:tc>
          <w:tcPr>
            <w:tcW w:w="2520" w:type="dxa"/>
            <w:shd w:val="clear" w:color="auto" w:fill="FFFFFF" w:themeFill="background1"/>
          </w:tcPr>
          <w:p w14:paraId="5452186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</w:p>
        </w:tc>
        <w:tc>
          <w:tcPr>
            <w:tcW w:w="1800" w:type="dxa"/>
            <w:shd w:val="clear" w:color="auto" w:fill="FFFFFF" w:themeFill="background1"/>
          </w:tcPr>
          <w:p w14:paraId="6C7DFEA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</w:tcPr>
          <w:p w14:paraId="38A030F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14:paraId="7482CF1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594F860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0.54</w:t>
            </w:r>
          </w:p>
        </w:tc>
      </w:tr>
      <w:tr w:rsidR="00F73BC9" w:rsidRPr="00D53FF6" w14:paraId="31E2FC52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3982B8ED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6FD1DC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1800" w:type="dxa"/>
            <w:shd w:val="clear" w:color="auto" w:fill="FFFFFF" w:themeFill="background1"/>
          </w:tcPr>
          <w:p w14:paraId="176D738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</w:tcPr>
          <w:p w14:paraId="5CF4E58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14:paraId="3A15E7FF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757202D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0E70D348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6BF69AF2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EA328DA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</w:p>
        </w:tc>
        <w:tc>
          <w:tcPr>
            <w:tcW w:w="1800" w:type="dxa"/>
            <w:shd w:val="clear" w:color="auto" w:fill="FFFFFF" w:themeFill="background1"/>
          </w:tcPr>
          <w:p w14:paraId="0463259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</w:tcPr>
          <w:p w14:paraId="6AA6B99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14:paraId="192AF9F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20C3B12D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7C5FA2FD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19663305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C013B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1800" w:type="dxa"/>
            <w:shd w:val="clear" w:color="auto" w:fill="FFFFFF" w:themeFill="background1"/>
          </w:tcPr>
          <w:p w14:paraId="63C0551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</w:tcPr>
          <w:p w14:paraId="648CA9B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FFFFFF" w:themeFill="background1"/>
          </w:tcPr>
          <w:p w14:paraId="0356F74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3A58D13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72353701" w14:textId="77777777" w:rsidTr="00F73BC9">
        <w:trPr>
          <w:jc w:val="center"/>
        </w:trPr>
        <w:tc>
          <w:tcPr>
            <w:tcW w:w="2160" w:type="dxa"/>
            <w:shd w:val="pct5" w:color="auto" w:fill="auto"/>
          </w:tcPr>
          <w:p w14:paraId="7BFCCCF3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Recurrence </w:t>
            </w:r>
          </w:p>
        </w:tc>
        <w:tc>
          <w:tcPr>
            <w:tcW w:w="2520" w:type="dxa"/>
            <w:shd w:val="pct5" w:color="auto" w:fill="auto"/>
          </w:tcPr>
          <w:p w14:paraId="2C4F8F0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14:paraId="032E9FB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00" w:type="dxa"/>
            <w:shd w:val="pct5" w:color="auto" w:fill="auto"/>
          </w:tcPr>
          <w:p w14:paraId="2EB0F9DB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566E150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10" w:type="dxa"/>
            <w:shd w:val="pct5" w:color="auto" w:fill="auto"/>
          </w:tcPr>
          <w:p w14:paraId="5828E56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3F4E3E1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0" w:type="dxa"/>
            <w:shd w:val="pct5" w:color="auto" w:fill="auto"/>
          </w:tcPr>
          <w:p w14:paraId="54D6EB3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540A1A22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50" w:type="dxa"/>
            <w:shd w:val="pct5" w:color="auto" w:fill="auto"/>
          </w:tcPr>
          <w:p w14:paraId="229967F0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0.9</w:t>
            </w:r>
          </w:p>
        </w:tc>
      </w:tr>
      <w:tr w:rsidR="00F73BC9" w:rsidRPr="00D53FF6" w14:paraId="46C54B6F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7E8C12E0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b/>
                <w:sz w:val="18"/>
                <w:szCs w:val="18"/>
              </w:rPr>
              <w:t>Outcome</w:t>
            </w:r>
          </w:p>
        </w:tc>
        <w:tc>
          <w:tcPr>
            <w:tcW w:w="2520" w:type="dxa"/>
            <w:shd w:val="clear" w:color="auto" w:fill="FFFFFF" w:themeFill="background1"/>
          </w:tcPr>
          <w:p w14:paraId="5EBD22C5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NED</w:t>
            </w:r>
          </w:p>
        </w:tc>
        <w:tc>
          <w:tcPr>
            <w:tcW w:w="1800" w:type="dxa"/>
            <w:shd w:val="clear" w:color="auto" w:fill="FFFFFF" w:themeFill="background1"/>
          </w:tcPr>
          <w:p w14:paraId="18EBC21A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10" w:type="dxa"/>
            <w:shd w:val="clear" w:color="auto" w:fill="FFFFFF" w:themeFill="background1"/>
          </w:tcPr>
          <w:p w14:paraId="27820D74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FFFFFF" w:themeFill="background1"/>
          </w:tcPr>
          <w:p w14:paraId="434AE2D9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14:paraId="2AED7227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0.47</w:t>
            </w:r>
          </w:p>
          <w:p w14:paraId="72411B6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C: &lt;.0001 (all)</w:t>
            </w:r>
          </w:p>
        </w:tc>
      </w:tr>
      <w:tr w:rsidR="00F73BC9" w:rsidRPr="00D53FF6" w14:paraId="134AC9F0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19EBB579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9D95C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live with disease</w:t>
            </w:r>
          </w:p>
        </w:tc>
        <w:tc>
          <w:tcPr>
            <w:tcW w:w="1800" w:type="dxa"/>
            <w:shd w:val="clear" w:color="auto" w:fill="FFFFFF" w:themeFill="background1"/>
          </w:tcPr>
          <w:p w14:paraId="72871328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</w:tcPr>
          <w:p w14:paraId="42F6E403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14:paraId="14962906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3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5FB08E2A" w14:textId="77777777" w:rsidR="00F73BC9" w:rsidRPr="007F2337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BC9" w:rsidRPr="00D53FF6" w14:paraId="1A6DFC3C" w14:textId="77777777" w:rsidTr="00F73BC9">
        <w:trPr>
          <w:jc w:val="center"/>
        </w:trPr>
        <w:tc>
          <w:tcPr>
            <w:tcW w:w="2160" w:type="dxa"/>
            <w:shd w:val="clear" w:color="auto" w:fill="FFFFFF" w:themeFill="background1"/>
          </w:tcPr>
          <w:p w14:paraId="3731A626" w14:textId="77777777" w:rsidR="00F73BC9" w:rsidRPr="007F2337" w:rsidRDefault="00F73BC9" w:rsidP="00183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6BFCEDC" w14:textId="77777777" w:rsidR="00F73BC9" w:rsidRPr="00D53FF6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FF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eceased</w:t>
            </w:r>
          </w:p>
        </w:tc>
        <w:tc>
          <w:tcPr>
            <w:tcW w:w="1800" w:type="dxa"/>
            <w:shd w:val="clear" w:color="auto" w:fill="FFFFFF" w:themeFill="background1"/>
          </w:tcPr>
          <w:p w14:paraId="076F733D" w14:textId="77777777" w:rsidR="00F73BC9" w:rsidRPr="00D53FF6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F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</w:tcPr>
          <w:p w14:paraId="59A4B02B" w14:textId="77777777" w:rsidR="00F73BC9" w:rsidRPr="00D53FF6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14:paraId="1E0746A0" w14:textId="77777777" w:rsidR="00F73BC9" w:rsidRPr="00D53FF6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0" w:type="dxa"/>
            <w:shd w:val="clear" w:color="auto" w:fill="FFFFFF" w:themeFill="background1"/>
          </w:tcPr>
          <w:p w14:paraId="182D3C46" w14:textId="77777777" w:rsidR="00F73BC9" w:rsidRPr="00D53FF6" w:rsidRDefault="00F73BC9" w:rsidP="00183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5E9F75" w14:textId="2285AE04" w:rsidR="009F5BBB" w:rsidRDefault="009F5BBB"/>
    <w:p w14:paraId="0A398DC9" w14:textId="77777777" w:rsidR="00F73BC9" w:rsidRDefault="00F73BC9" w:rsidP="00F73BC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30E7">
        <w:rPr>
          <w:rFonts w:ascii="Times New Roman" w:hAnsi="Times New Roman" w:cs="Times New Roman"/>
          <w:b/>
          <w:sz w:val="21"/>
          <w:szCs w:val="21"/>
        </w:rPr>
        <w:t>Table 2.  Clinico-pathologic characteristics and treatment modalities by RIS subtype</w:t>
      </w:r>
    </w:p>
    <w:p w14:paraId="7D719A4E" w14:textId="77777777" w:rsidR="00F73BC9" w:rsidRDefault="00F73BC9"/>
    <w:sectPr w:rsidR="00F73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C9"/>
    <w:rsid w:val="007D51BC"/>
    <w:rsid w:val="009F5BBB"/>
    <w:rsid w:val="00BF090E"/>
    <w:rsid w:val="00E03BE7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1B2D8"/>
  <w15:chartTrackingRefBased/>
  <w15:docId w15:val="{51827AAD-9224-104D-B84F-5695B97A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C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B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1217</Characters>
  <Application>Microsoft Office Word</Application>
  <DocSecurity>0</DocSecurity>
  <Lines>18</Lines>
  <Paragraphs>5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Ribeiro</dc:creator>
  <cp:keywords/>
  <dc:description/>
  <cp:lastModifiedBy>Maurício Ribeiro</cp:lastModifiedBy>
  <cp:revision>1</cp:revision>
  <dcterms:created xsi:type="dcterms:W3CDTF">2022-06-28T00:32:00Z</dcterms:created>
  <dcterms:modified xsi:type="dcterms:W3CDTF">2022-06-28T00:33:00Z</dcterms:modified>
</cp:coreProperties>
</file>