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1782" w14:textId="77777777" w:rsidR="008C044A" w:rsidRPr="008C044A" w:rsidRDefault="008C044A" w:rsidP="008C044A">
      <w:pPr>
        <w:spacing w:after="200" w:line="240" w:lineRule="auto"/>
        <w:ind w:left="-720"/>
        <w:contextualSpacing/>
        <w:rPr>
          <w:rFonts w:ascii="Arial" w:eastAsia="Calibri" w:hAnsi="Arial" w:cs="Arial"/>
          <w:b/>
          <w:bCs/>
        </w:rPr>
      </w:pPr>
      <w:r w:rsidRPr="008C044A">
        <w:rPr>
          <w:rFonts w:ascii="Arial" w:eastAsia="Calibri" w:hAnsi="Arial" w:cs="Arial"/>
          <w:b/>
          <w:bCs/>
        </w:rPr>
        <w:t xml:space="preserve">Table 2: Univariable Cox analysis </w:t>
      </w:r>
    </w:p>
    <w:tbl>
      <w:tblPr>
        <w:tblStyle w:val="TableGrid"/>
        <w:tblW w:w="11610" w:type="dxa"/>
        <w:tblInd w:w="-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970"/>
        <w:gridCol w:w="2610"/>
      </w:tblGrid>
      <w:tr w:rsidR="008C044A" w:rsidRPr="008C044A" w14:paraId="7C2391D8" w14:textId="77777777" w:rsidTr="008E33BB">
        <w:tc>
          <w:tcPr>
            <w:tcW w:w="6030" w:type="dxa"/>
            <w:tcBorders>
              <w:bottom w:val="nil"/>
            </w:tcBorders>
          </w:tcPr>
          <w:p w14:paraId="40349D8F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3D8D4DCB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Secondary </w:t>
            </w:r>
          </w:p>
        </w:tc>
        <w:tc>
          <w:tcPr>
            <w:tcW w:w="2610" w:type="dxa"/>
            <w:tcBorders>
              <w:bottom w:val="nil"/>
            </w:tcBorders>
          </w:tcPr>
          <w:p w14:paraId="70EE2C3A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>Primary</w:t>
            </w:r>
          </w:p>
        </w:tc>
      </w:tr>
      <w:tr w:rsidR="008C044A" w:rsidRPr="008C044A" w14:paraId="278D9FC2" w14:textId="77777777" w:rsidTr="008E33BB"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14:paraId="7B9F1782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Characteristics 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2155C2CD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HR (95%CI)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721EED97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HR (95%CI)</w:t>
            </w:r>
          </w:p>
        </w:tc>
      </w:tr>
      <w:tr w:rsidR="008C044A" w:rsidRPr="008C044A" w14:paraId="40571DFA" w14:textId="77777777" w:rsidTr="008E33BB">
        <w:tc>
          <w:tcPr>
            <w:tcW w:w="6030" w:type="dxa"/>
            <w:tcBorders>
              <w:top w:val="single" w:sz="4" w:space="0" w:color="auto"/>
            </w:tcBorders>
          </w:tcPr>
          <w:p w14:paraId="7F36B083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Race </w:t>
            </w:r>
          </w:p>
          <w:p w14:paraId="701E8607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White</w:t>
            </w:r>
          </w:p>
          <w:p w14:paraId="5E089EDF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Black</w:t>
            </w:r>
          </w:p>
          <w:p w14:paraId="0BC3B33F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>Other (American Indian/ AK Native, Asian/ Pacific Islander)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DC0306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10CF7CC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referent </w:t>
            </w:r>
          </w:p>
          <w:p w14:paraId="698AF8A4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0.97 (0.40-2.39), 0.953</w:t>
            </w:r>
          </w:p>
          <w:p w14:paraId="137199E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0.84 (0.31-2.31), 0.746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828F3B4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61A054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referent </w:t>
            </w:r>
          </w:p>
          <w:p w14:paraId="4F483F5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1.50 (0.65-3.48), 0.346</w:t>
            </w:r>
          </w:p>
          <w:p w14:paraId="21B1E2D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0.86 (0.39-1.88),0.698</w:t>
            </w:r>
          </w:p>
        </w:tc>
      </w:tr>
      <w:tr w:rsidR="008C044A" w:rsidRPr="008C044A" w14:paraId="27690485" w14:textId="77777777" w:rsidTr="008E33BB">
        <w:tc>
          <w:tcPr>
            <w:tcW w:w="6030" w:type="dxa"/>
          </w:tcPr>
          <w:p w14:paraId="6925E68B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>Age at Diagnosis</w:t>
            </w:r>
          </w:p>
          <w:p w14:paraId="6E0A63D2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 xml:space="preserve">Continuous </w:t>
            </w:r>
          </w:p>
        </w:tc>
        <w:tc>
          <w:tcPr>
            <w:tcW w:w="2970" w:type="dxa"/>
          </w:tcPr>
          <w:p w14:paraId="1FA45CC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F8766D9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1.05 (1.03-1.06), &lt;0.001</w:t>
            </w:r>
          </w:p>
        </w:tc>
        <w:tc>
          <w:tcPr>
            <w:tcW w:w="2610" w:type="dxa"/>
          </w:tcPr>
          <w:p w14:paraId="0881940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E17F042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1.01 (1.00-1.02), 0.054</w:t>
            </w:r>
          </w:p>
        </w:tc>
      </w:tr>
      <w:tr w:rsidR="008C044A" w:rsidRPr="008C044A" w14:paraId="1AAA88D0" w14:textId="77777777" w:rsidTr="008E33BB">
        <w:tc>
          <w:tcPr>
            <w:tcW w:w="6030" w:type="dxa"/>
          </w:tcPr>
          <w:p w14:paraId="02DF3591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>Size</w:t>
            </w:r>
          </w:p>
          <w:p w14:paraId="4816A79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>Continuous</w:t>
            </w:r>
          </w:p>
        </w:tc>
        <w:tc>
          <w:tcPr>
            <w:tcW w:w="2970" w:type="dxa"/>
          </w:tcPr>
          <w:p w14:paraId="2827E9E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E452D8B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1.00 (1.00-1.01), 0.036</w:t>
            </w:r>
          </w:p>
        </w:tc>
        <w:tc>
          <w:tcPr>
            <w:tcW w:w="2610" w:type="dxa"/>
          </w:tcPr>
          <w:p w14:paraId="5EF0F32E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CAE02B4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1.01 (1.01-1.01), &lt;0.001</w:t>
            </w:r>
          </w:p>
        </w:tc>
      </w:tr>
      <w:tr w:rsidR="008C044A" w:rsidRPr="008C044A" w14:paraId="05EC531E" w14:textId="77777777" w:rsidTr="008E33BB">
        <w:tc>
          <w:tcPr>
            <w:tcW w:w="6030" w:type="dxa"/>
          </w:tcPr>
          <w:p w14:paraId="1B4F49BD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>Tumor Grade</w:t>
            </w:r>
          </w:p>
          <w:p w14:paraId="4BCC97A6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I </w:t>
            </w:r>
          </w:p>
          <w:p w14:paraId="02E299CB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II</w:t>
            </w:r>
          </w:p>
          <w:p w14:paraId="4A32B618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III </w:t>
            </w:r>
          </w:p>
          <w:p w14:paraId="16809D27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IV</w:t>
            </w:r>
          </w:p>
          <w:p w14:paraId="5F1990E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</w:rPr>
              <w:t>Missing</w:t>
            </w:r>
          </w:p>
        </w:tc>
        <w:tc>
          <w:tcPr>
            <w:tcW w:w="2970" w:type="dxa"/>
          </w:tcPr>
          <w:p w14:paraId="72D89614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A0264E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0.32 (0.11-0.89), 0.030</w:t>
            </w:r>
          </w:p>
          <w:p w14:paraId="48E560C2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0.83 (0.44-1.59), 0.582</w:t>
            </w:r>
          </w:p>
          <w:p w14:paraId="22BDDBE7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0.92 (0.56-1.49), 0.730</w:t>
            </w:r>
          </w:p>
          <w:p w14:paraId="68A9F632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5B56CEBA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0.79 (0.48-1.28), 0.340</w:t>
            </w:r>
          </w:p>
        </w:tc>
        <w:tc>
          <w:tcPr>
            <w:tcW w:w="2610" w:type="dxa"/>
          </w:tcPr>
          <w:p w14:paraId="2C45AB5C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7CBB095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0.37 (0.17-0.78), 0.010</w:t>
            </w:r>
          </w:p>
          <w:p w14:paraId="2C41F489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0.35 (0.17-0.70), 0.003</w:t>
            </w:r>
          </w:p>
          <w:p w14:paraId="794EEC4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1.09 (0.58-2.05), 0.972</w:t>
            </w:r>
          </w:p>
          <w:p w14:paraId="63CB6F0E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0E70515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0.39 (0.15-0.98), 0.046</w:t>
            </w:r>
          </w:p>
        </w:tc>
      </w:tr>
      <w:tr w:rsidR="008C044A" w:rsidRPr="008C044A" w14:paraId="71AED8C3" w14:textId="77777777" w:rsidTr="008E33BB">
        <w:tc>
          <w:tcPr>
            <w:tcW w:w="6030" w:type="dxa"/>
          </w:tcPr>
          <w:p w14:paraId="563D4C56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Lymph node involvement </w:t>
            </w:r>
          </w:p>
          <w:p w14:paraId="08A6600E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Negative</w:t>
            </w:r>
          </w:p>
          <w:p w14:paraId="71BFA04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Positive</w:t>
            </w:r>
          </w:p>
          <w:p w14:paraId="5F747731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Unknown</w:t>
            </w:r>
          </w:p>
        </w:tc>
        <w:tc>
          <w:tcPr>
            <w:tcW w:w="2970" w:type="dxa"/>
          </w:tcPr>
          <w:p w14:paraId="120D8405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B8E78E7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13C0FB8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2.14 (0.67-6.82), 0.197</w:t>
            </w:r>
          </w:p>
          <w:p w14:paraId="6D7E3A1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1.52 (0.90-2.56), 0.120</w:t>
            </w:r>
          </w:p>
        </w:tc>
        <w:tc>
          <w:tcPr>
            <w:tcW w:w="2610" w:type="dxa"/>
          </w:tcPr>
          <w:p w14:paraId="1E8677B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7AB83B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79E8F452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3.29 (1.30-8.30), 0.012</w:t>
            </w:r>
          </w:p>
          <w:p w14:paraId="78F1DCC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1.19 (0.58-2.41), 0.637</w:t>
            </w:r>
          </w:p>
        </w:tc>
      </w:tr>
      <w:tr w:rsidR="008C044A" w:rsidRPr="008C044A" w14:paraId="7333AF5E" w14:textId="77777777" w:rsidTr="008E33BB">
        <w:tc>
          <w:tcPr>
            <w:tcW w:w="6030" w:type="dxa"/>
          </w:tcPr>
          <w:p w14:paraId="5BBEAC6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>Tumor Stage</w:t>
            </w:r>
          </w:p>
          <w:p w14:paraId="3CE88CC3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 xml:space="preserve">Local </w:t>
            </w:r>
          </w:p>
          <w:p w14:paraId="406CE829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>Regional</w:t>
            </w:r>
            <w:r w:rsidRPr="008C044A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970" w:type="dxa"/>
          </w:tcPr>
          <w:p w14:paraId="2D13462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7766D0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referent </w:t>
            </w:r>
          </w:p>
          <w:p w14:paraId="7540935B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1.92 (1.31-2.82), 0.001</w:t>
            </w:r>
          </w:p>
        </w:tc>
        <w:tc>
          <w:tcPr>
            <w:tcW w:w="2610" w:type="dxa"/>
          </w:tcPr>
          <w:p w14:paraId="4961FBA6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EFFF73B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4CBC69CD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3.15 (1.84-5.40), &lt;0.001</w:t>
            </w:r>
          </w:p>
        </w:tc>
      </w:tr>
      <w:tr w:rsidR="008C044A" w:rsidRPr="008C044A" w14:paraId="74B91DFC" w14:textId="77777777" w:rsidTr="008E33BB">
        <w:tc>
          <w:tcPr>
            <w:tcW w:w="6030" w:type="dxa"/>
          </w:tcPr>
          <w:p w14:paraId="20DB9772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Primary Site </w:t>
            </w:r>
          </w:p>
          <w:p w14:paraId="234DB247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Nipple</w:t>
            </w:r>
          </w:p>
          <w:p w14:paraId="76BD1AAB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Central portion of breast</w:t>
            </w:r>
          </w:p>
          <w:p w14:paraId="4FB4F9E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Upper-inner quadrant of breast</w:t>
            </w:r>
          </w:p>
          <w:p w14:paraId="6CE3B60F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Lower- inner quadrant of breast</w:t>
            </w:r>
          </w:p>
          <w:p w14:paraId="76CC3E8E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Upper- outer quadrant of breast</w:t>
            </w:r>
          </w:p>
          <w:p w14:paraId="1488B703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>Lower- outer quadrant of breast</w:t>
            </w:r>
          </w:p>
          <w:p w14:paraId="5BE1B771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 xml:space="preserve">Overlapping lesion of breast </w:t>
            </w:r>
          </w:p>
          <w:p w14:paraId="7D47639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>Breast, NOS</w:t>
            </w:r>
          </w:p>
        </w:tc>
        <w:tc>
          <w:tcPr>
            <w:tcW w:w="2970" w:type="dxa"/>
          </w:tcPr>
          <w:p w14:paraId="36C43CCC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15D26B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2.11 (0.76-5.83), 0.152</w:t>
            </w:r>
          </w:p>
          <w:p w14:paraId="0DA314B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1.46 (0.76-2.79), 0.252</w:t>
            </w:r>
          </w:p>
          <w:p w14:paraId="445DBED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 0.84 (0.21-3.46), 0.815</w:t>
            </w:r>
          </w:p>
          <w:p w14:paraId="5B6E1CB5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1.62 (0.64-4.05), 0.306</w:t>
            </w:r>
          </w:p>
          <w:p w14:paraId="2A50423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0.47 (0.19-1.18), 0.107</w:t>
            </w:r>
          </w:p>
          <w:p w14:paraId="6409187C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1.11 (0.45-2.78), 0.820</w:t>
            </w:r>
          </w:p>
          <w:p w14:paraId="4BFD4B7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1.42 (0.87-2.30), 0.161</w:t>
            </w:r>
          </w:p>
          <w:p w14:paraId="4F446506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</w:tc>
        <w:tc>
          <w:tcPr>
            <w:tcW w:w="2610" w:type="dxa"/>
          </w:tcPr>
          <w:p w14:paraId="0DE486C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31238FD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n/a</w:t>
            </w:r>
          </w:p>
          <w:p w14:paraId="3D20EF1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0.78 (0.18-3.30), 0.736</w:t>
            </w:r>
          </w:p>
          <w:p w14:paraId="3381338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0.35 (0.12-1.01), 0.052</w:t>
            </w:r>
          </w:p>
          <w:p w14:paraId="7EA18FC9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0.37 (0.11-1.23), 0.104</w:t>
            </w:r>
          </w:p>
          <w:p w14:paraId="17160D81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0.55 (0.25-1.22), 0.140</w:t>
            </w:r>
          </w:p>
          <w:p w14:paraId="4410CE87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0.33 (0.04-2.42), 0.275</w:t>
            </w:r>
          </w:p>
          <w:p w14:paraId="53CFE184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1.06 (0.62-1.82), 0.831</w:t>
            </w:r>
          </w:p>
          <w:p w14:paraId="690B61F0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</w:tc>
      </w:tr>
      <w:tr w:rsidR="008C044A" w:rsidRPr="008C044A" w14:paraId="363FF1C3" w14:textId="77777777" w:rsidTr="008E33BB">
        <w:tc>
          <w:tcPr>
            <w:tcW w:w="6030" w:type="dxa"/>
          </w:tcPr>
          <w:p w14:paraId="7CC038AA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Radiation </w:t>
            </w:r>
          </w:p>
          <w:p w14:paraId="754AD627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 xml:space="preserve">No/Unknown </w:t>
            </w:r>
          </w:p>
          <w:p w14:paraId="530694DF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>Yes</w:t>
            </w:r>
            <w:r w:rsidRPr="008C044A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970" w:type="dxa"/>
          </w:tcPr>
          <w:p w14:paraId="3E8A0ED8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1685A85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2B65894B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0.72 (0.35-1.48), 0.374</w:t>
            </w:r>
          </w:p>
        </w:tc>
        <w:tc>
          <w:tcPr>
            <w:tcW w:w="2610" w:type="dxa"/>
          </w:tcPr>
          <w:p w14:paraId="7150C814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3188C32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referent </w:t>
            </w:r>
          </w:p>
          <w:p w14:paraId="1FC7276B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1.21 (0.74-1.96), 0.445</w:t>
            </w:r>
          </w:p>
        </w:tc>
      </w:tr>
      <w:tr w:rsidR="008C044A" w:rsidRPr="008C044A" w14:paraId="1AF88316" w14:textId="77777777" w:rsidTr="008E33BB">
        <w:tc>
          <w:tcPr>
            <w:tcW w:w="6030" w:type="dxa"/>
          </w:tcPr>
          <w:p w14:paraId="4E2AA107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/>
              </w:rPr>
              <w:t xml:space="preserve">Chemotherapy </w:t>
            </w:r>
          </w:p>
          <w:p w14:paraId="5470658E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Cs/>
              </w:rPr>
            </w:pPr>
            <w:r w:rsidRPr="008C044A">
              <w:rPr>
                <w:rFonts w:ascii="Arial" w:eastAsia="Calibri" w:hAnsi="Arial" w:cs="Arial"/>
                <w:bCs/>
              </w:rPr>
              <w:t xml:space="preserve">No/Unknown </w:t>
            </w:r>
          </w:p>
          <w:p w14:paraId="76F4D485" w14:textId="77777777" w:rsidR="008C044A" w:rsidRPr="008C044A" w:rsidRDefault="008C044A" w:rsidP="008C044A">
            <w:pPr>
              <w:contextualSpacing/>
              <w:rPr>
                <w:rFonts w:ascii="Arial" w:eastAsia="Calibri" w:hAnsi="Arial" w:cs="Arial"/>
                <w:b/>
              </w:rPr>
            </w:pPr>
            <w:r w:rsidRPr="008C044A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2970" w:type="dxa"/>
          </w:tcPr>
          <w:p w14:paraId="2989EDA6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B6ED28C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referent</w:t>
            </w:r>
          </w:p>
          <w:p w14:paraId="55900526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0.76 (0.47-1.21), 0.240</w:t>
            </w:r>
          </w:p>
        </w:tc>
        <w:tc>
          <w:tcPr>
            <w:tcW w:w="2610" w:type="dxa"/>
          </w:tcPr>
          <w:p w14:paraId="112256CD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D68C1B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 xml:space="preserve">referent </w:t>
            </w:r>
          </w:p>
          <w:p w14:paraId="66DBD7F3" w14:textId="77777777" w:rsidR="008C044A" w:rsidRPr="008C044A" w:rsidRDefault="008C044A" w:rsidP="008C044A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8C044A">
              <w:rPr>
                <w:rFonts w:ascii="Arial" w:eastAsia="Calibri" w:hAnsi="Arial" w:cs="Arial"/>
              </w:rPr>
              <w:t>1.14 (0.68-1.90), 0.627</w:t>
            </w:r>
          </w:p>
        </w:tc>
      </w:tr>
    </w:tbl>
    <w:p w14:paraId="4AC9957E" w14:textId="77777777" w:rsidR="008C044A" w:rsidRPr="008C044A" w:rsidRDefault="008C044A" w:rsidP="008C044A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4958D536" w14:textId="77777777" w:rsidR="00AA4803" w:rsidRDefault="00AA4803"/>
    <w:sectPr w:rsidR="00AA4803" w:rsidSect="008C0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4A"/>
    <w:rsid w:val="008C044A"/>
    <w:rsid w:val="00A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807C"/>
  <w15:chartTrackingRefBased/>
  <w15:docId w15:val="{600DE36B-3395-462D-946B-D66EC8E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Wagner</dc:creator>
  <cp:keywords/>
  <dc:description/>
  <cp:lastModifiedBy>Michael J. Wagner</cp:lastModifiedBy>
  <cp:revision>1</cp:revision>
  <dcterms:created xsi:type="dcterms:W3CDTF">2022-06-25T23:32:00Z</dcterms:created>
  <dcterms:modified xsi:type="dcterms:W3CDTF">2022-06-25T23:33:00Z</dcterms:modified>
</cp:coreProperties>
</file>